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0AB9" w14:textId="670EA507" w:rsidR="00CC5A5B" w:rsidRPr="00433ECF" w:rsidRDefault="00E426F9" w:rsidP="00CC5A5B">
      <w:pPr>
        <w:spacing w:line="259" w:lineRule="auto"/>
        <w:jc w:val="right"/>
        <w:rPr>
          <w:rFonts w:ascii="Arial" w:eastAsia="Calibri" w:hAnsi="Arial" w:cs="Arial"/>
          <w:b/>
          <w:sz w:val="22"/>
          <w:szCs w:val="22"/>
          <w:lang w:val="es-MX" w:eastAsia="en-US"/>
        </w:rPr>
      </w:pPr>
      <w:r w:rsidRPr="00433ECF">
        <w:rPr>
          <w:rFonts w:ascii="Arial" w:eastAsia="Calibri" w:hAnsi="Arial" w:cs="Arial"/>
          <w:b/>
          <w:sz w:val="22"/>
          <w:szCs w:val="22"/>
          <w:lang w:val="es-MX" w:eastAsia="en-US"/>
        </w:rPr>
        <w:t>Primera</w:t>
      </w:r>
      <w:r w:rsidR="00CC5A5B" w:rsidRPr="00433ECF">
        <w:rPr>
          <w:rFonts w:ascii="Arial" w:eastAsia="Calibri" w:hAnsi="Arial" w:cs="Arial"/>
          <w:b/>
          <w:sz w:val="22"/>
          <w:szCs w:val="22"/>
          <w:lang w:val="es-MX" w:eastAsia="en-US"/>
        </w:rPr>
        <w:t xml:space="preserve"> Sesión </w:t>
      </w:r>
      <w:r w:rsidRPr="00433ECF">
        <w:rPr>
          <w:rFonts w:ascii="Arial" w:eastAsia="Calibri" w:hAnsi="Arial" w:cs="Arial"/>
          <w:b/>
          <w:sz w:val="22"/>
          <w:szCs w:val="22"/>
          <w:lang w:val="es-MX" w:eastAsia="en-US"/>
        </w:rPr>
        <w:t>Extraordinaria</w:t>
      </w:r>
      <w:r w:rsidR="00CC5A5B" w:rsidRPr="00433ECF">
        <w:rPr>
          <w:rFonts w:ascii="Arial" w:eastAsia="Calibri" w:hAnsi="Arial" w:cs="Arial"/>
          <w:b/>
          <w:sz w:val="22"/>
          <w:szCs w:val="22"/>
          <w:lang w:val="es-MX" w:eastAsia="en-US"/>
        </w:rPr>
        <w:t xml:space="preserve"> del año 20</w:t>
      </w:r>
      <w:r w:rsidR="001C2F81" w:rsidRPr="00433ECF">
        <w:rPr>
          <w:rFonts w:ascii="Arial" w:eastAsia="Calibri" w:hAnsi="Arial" w:cs="Arial"/>
          <w:b/>
          <w:sz w:val="22"/>
          <w:szCs w:val="22"/>
          <w:lang w:val="es-MX" w:eastAsia="en-US"/>
        </w:rPr>
        <w:t>2</w:t>
      </w:r>
      <w:r w:rsidRPr="00433ECF">
        <w:rPr>
          <w:rFonts w:ascii="Arial" w:eastAsia="Calibri" w:hAnsi="Arial" w:cs="Arial"/>
          <w:b/>
          <w:sz w:val="22"/>
          <w:szCs w:val="22"/>
          <w:lang w:val="es-MX" w:eastAsia="en-US"/>
        </w:rPr>
        <w:t>1</w:t>
      </w:r>
      <w:r w:rsidR="00CC5A5B" w:rsidRPr="00433ECF">
        <w:rPr>
          <w:rFonts w:ascii="Arial" w:eastAsia="Calibri" w:hAnsi="Arial" w:cs="Arial"/>
          <w:b/>
          <w:sz w:val="22"/>
          <w:szCs w:val="22"/>
          <w:lang w:val="es-MX" w:eastAsia="en-US"/>
        </w:rPr>
        <w:t xml:space="preserve">,  </w:t>
      </w:r>
    </w:p>
    <w:p w14:paraId="5612471A" w14:textId="7C3C4C0F" w:rsidR="00CC5A5B" w:rsidRPr="00433ECF" w:rsidRDefault="00E426F9" w:rsidP="00CC5A5B">
      <w:pPr>
        <w:spacing w:line="259" w:lineRule="auto"/>
        <w:jc w:val="right"/>
        <w:rPr>
          <w:rFonts w:ascii="Arial" w:eastAsia="Calibri" w:hAnsi="Arial" w:cs="Arial"/>
          <w:b/>
          <w:sz w:val="22"/>
          <w:szCs w:val="22"/>
          <w:lang w:val="es-MX" w:eastAsia="en-US"/>
        </w:rPr>
      </w:pPr>
      <w:r w:rsidRPr="00433ECF">
        <w:rPr>
          <w:rFonts w:ascii="Arial" w:eastAsia="Calibri" w:hAnsi="Arial" w:cs="Arial"/>
          <w:b/>
          <w:sz w:val="22"/>
          <w:szCs w:val="22"/>
          <w:lang w:val="es-MX" w:eastAsia="en-US"/>
        </w:rPr>
        <w:t>1</w:t>
      </w:r>
      <w:r w:rsidR="00CC5A5B" w:rsidRPr="00433ECF">
        <w:rPr>
          <w:rFonts w:ascii="Arial" w:eastAsia="Calibri" w:hAnsi="Arial" w:cs="Arial"/>
          <w:b/>
          <w:sz w:val="22"/>
          <w:szCs w:val="22"/>
          <w:lang w:val="es-MX" w:eastAsia="en-US"/>
        </w:rPr>
        <w:t>/20</w:t>
      </w:r>
      <w:r w:rsidR="001C2F81" w:rsidRPr="00433ECF">
        <w:rPr>
          <w:rFonts w:ascii="Arial" w:eastAsia="Calibri" w:hAnsi="Arial" w:cs="Arial"/>
          <w:b/>
          <w:sz w:val="22"/>
          <w:szCs w:val="22"/>
          <w:lang w:val="es-MX" w:eastAsia="en-US"/>
        </w:rPr>
        <w:t>2</w:t>
      </w:r>
      <w:r w:rsidRPr="00433ECF">
        <w:rPr>
          <w:rFonts w:ascii="Arial" w:eastAsia="Calibri" w:hAnsi="Arial" w:cs="Arial"/>
          <w:b/>
          <w:sz w:val="22"/>
          <w:szCs w:val="22"/>
          <w:lang w:val="es-MX" w:eastAsia="en-US"/>
        </w:rPr>
        <w:t>1</w:t>
      </w:r>
      <w:r w:rsidR="00CC5A5B" w:rsidRPr="00433ECF">
        <w:rPr>
          <w:rFonts w:ascii="Arial" w:eastAsia="Calibri" w:hAnsi="Arial" w:cs="Arial"/>
          <w:b/>
          <w:sz w:val="22"/>
          <w:szCs w:val="22"/>
          <w:lang w:val="es-MX" w:eastAsia="en-US"/>
        </w:rPr>
        <w:t xml:space="preserve"> </w:t>
      </w:r>
      <w:r w:rsidRPr="00433ECF">
        <w:rPr>
          <w:rFonts w:ascii="Arial" w:eastAsia="Calibri" w:hAnsi="Arial" w:cs="Arial"/>
          <w:b/>
          <w:sz w:val="22"/>
          <w:szCs w:val="22"/>
          <w:lang w:val="es-MX" w:eastAsia="en-US"/>
        </w:rPr>
        <w:t>EXT</w:t>
      </w:r>
      <w:r w:rsidR="00CC5A5B" w:rsidRPr="00433ECF">
        <w:rPr>
          <w:rFonts w:ascii="Arial" w:eastAsia="Calibri" w:hAnsi="Arial" w:cs="Arial"/>
          <w:b/>
          <w:sz w:val="22"/>
          <w:szCs w:val="22"/>
          <w:lang w:val="es-MX" w:eastAsia="en-US"/>
        </w:rPr>
        <w:t xml:space="preserve">, del Comité de Transparencia </w:t>
      </w:r>
    </w:p>
    <w:p w14:paraId="163E9FDE" w14:textId="77777777" w:rsidR="00CC5A5B" w:rsidRPr="00433ECF" w:rsidRDefault="00CC5A5B" w:rsidP="00CC5A5B">
      <w:pPr>
        <w:spacing w:line="259" w:lineRule="auto"/>
        <w:jc w:val="right"/>
        <w:rPr>
          <w:rFonts w:ascii="Arial" w:eastAsia="Calibri" w:hAnsi="Arial" w:cs="Arial"/>
          <w:b/>
          <w:sz w:val="22"/>
          <w:szCs w:val="22"/>
          <w:lang w:val="es-MX" w:eastAsia="en-US"/>
        </w:rPr>
      </w:pPr>
      <w:r w:rsidRPr="00433ECF">
        <w:rPr>
          <w:rFonts w:ascii="Arial" w:eastAsia="Calibri" w:hAnsi="Arial" w:cs="Arial"/>
          <w:b/>
          <w:sz w:val="22"/>
          <w:szCs w:val="22"/>
          <w:lang w:val="es-MX" w:eastAsia="en-US"/>
        </w:rPr>
        <w:t xml:space="preserve">de la Secretaría Ejecutiva del Sistema Estatal </w:t>
      </w:r>
    </w:p>
    <w:p w14:paraId="7B87BEF1" w14:textId="4AFD02DE" w:rsidR="00CC5A5B" w:rsidRDefault="00CC5A5B" w:rsidP="00CC5A5B">
      <w:pPr>
        <w:spacing w:line="259" w:lineRule="auto"/>
        <w:jc w:val="right"/>
        <w:rPr>
          <w:rFonts w:ascii="Arial" w:eastAsia="Calibri" w:hAnsi="Arial" w:cs="Arial"/>
          <w:b/>
          <w:sz w:val="22"/>
          <w:szCs w:val="22"/>
          <w:lang w:val="es-MX" w:eastAsia="en-US"/>
        </w:rPr>
      </w:pPr>
      <w:r w:rsidRPr="00433ECF">
        <w:rPr>
          <w:rFonts w:ascii="Arial" w:eastAsia="Calibri" w:hAnsi="Arial" w:cs="Arial"/>
          <w:b/>
          <w:sz w:val="22"/>
          <w:szCs w:val="22"/>
          <w:lang w:val="es-MX" w:eastAsia="en-US"/>
        </w:rPr>
        <w:t>Anticorrupción de Jalisco.</w:t>
      </w:r>
    </w:p>
    <w:p w14:paraId="6763E66C" w14:textId="77777777" w:rsidR="00433ECF" w:rsidRPr="00433ECF" w:rsidRDefault="00433ECF" w:rsidP="00CC5A5B">
      <w:pPr>
        <w:spacing w:line="259" w:lineRule="auto"/>
        <w:jc w:val="right"/>
        <w:rPr>
          <w:rFonts w:ascii="Arial" w:eastAsia="Calibri" w:hAnsi="Arial" w:cs="Arial"/>
          <w:b/>
          <w:sz w:val="22"/>
          <w:szCs w:val="22"/>
          <w:lang w:val="es-MX" w:eastAsia="en-US"/>
        </w:rPr>
      </w:pPr>
    </w:p>
    <w:p w14:paraId="21B525B4" w14:textId="77777777" w:rsidR="00CC5A5B" w:rsidRPr="00433ECF" w:rsidRDefault="00CC5A5B" w:rsidP="00CC5A5B">
      <w:pPr>
        <w:spacing w:after="160" w:line="259" w:lineRule="auto"/>
        <w:jc w:val="both"/>
        <w:rPr>
          <w:rFonts w:ascii="Arial" w:eastAsia="Calibri" w:hAnsi="Arial" w:cs="Arial"/>
          <w:sz w:val="22"/>
          <w:szCs w:val="22"/>
          <w:lang w:val="es-MX" w:eastAsia="en-US"/>
        </w:rPr>
      </w:pPr>
    </w:p>
    <w:p w14:paraId="3D743180" w14:textId="7E8BAD06" w:rsidR="00CC5A5B" w:rsidRDefault="00CC5A5B" w:rsidP="00CC5A5B">
      <w:pPr>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Siendo las </w:t>
      </w:r>
      <w:r w:rsidR="001C2F81" w:rsidRPr="00433ECF">
        <w:rPr>
          <w:rFonts w:ascii="Arial" w:eastAsia="Calibri" w:hAnsi="Arial" w:cs="Arial"/>
          <w:sz w:val="22"/>
          <w:szCs w:val="22"/>
          <w:lang w:val="es-MX" w:eastAsia="en-US"/>
        </w:rPr>
        <w:t>1</w:t>
      </w:r>
      <w:r w:rsidR="00E426F9" w:rsidRPr="00433ECF">
        <w:rPr>
          <w:rFonts w:ascii="Arial" w:eastAsia="Calibri" w:hAnsi="Arial" w:cs="Arial"/>
          <w:sz w:val="22"/>
          <w:szCs w:val="22"/>
          <w:lang w:val="es-MX" w:eastAsia="en-US"/>
        </w:rPr>
        <w:t>0</w:t>
      </w:r>
      <w:r w:rsidRPr="00433ECF">
        <w:rPr>
          <w:rFonts w:ascii="Arial" w:eastAsia="Calibri" w:hAnsi="Arial" w:cs="Arial"/>
          <w:sz w:val="22"/>
          <w:szCs w:val="22"/>
          <w:lang w:val="es-MX" w:eastAsia="en-US"/>
        </w:rPr>
        <w:t>:0</w:t>
      </w:r>
      <w:r w:rsidR="001C2F81" w:rsidRPr="00433ECF">
        <w:rPr>
          <w:rFonts w:ascii="Arial" w:eastAsia="Calibri" w:hAnsi="Arial" w:cs="Arial"/>
          <w:sz w:val="22"/>
          <w:szCs w:val="22"/>
          <w:lang w:val="es-MX" w:eastAsia="en-US"/>
        </w:rPr>
        <w:t>0</w:t>
      </w:r>
      <w:r w:rsidRPr="00433ECF">
        <w:rPr>
          <w:rFonts w:ascii="Arial" w:eastAsia="Calibri" w:hAnsi="Arial" w:cs="Arial"/>
          <w:sz w:val="22"/>
          <w:szCs w:val="22"/>
          <w:lang w:val="es-MX" w:eastAsia="en-US"/>
        </w:rPr>
        <w:t xml:space="preserve"> </w:t>
      </w:r>
      <w:r w:rsidR="00E426F9" w:rsidRPr="00433ECF">
        <w:rPr>
          <w:rFonts w:ascii="Arial" w:eastAsia="Calibri" w:hAnsi="Arial" w:cs="Arial"/>
          <w:sz w:val="22"/>
          <w:szCs w:val="22"/>
          <w:lang w:val="es-MX" w:eastAsia="en-US"/>
        </w:rPr>
        <w:t>Diez</w:t>
      </w:r>
      <w:r w:rsidRPr="00433ECF">
        <w:rPr>
          <w:rFonts w:ascii="Arial" w:eastAsia="Calibri" w:hAnsi="Arial" w:cs="Arial"/>
          <w:sz w:val="22"/>
          <w:szCs w:val="22"/>
          <w:lang w:val="es-MX" w:eastAsia="en-US"/>
        </w:rPr>
        <w:t xml:space="preserve"> horas</w:t>
      </w:r>
      <w:r w:rsidR="00AE2412" w:rsidRPr="00433ECF">
        <w:rPr>
          <w:rFonts w:ascii="Arial" w:eastAsia="Calibri" w:hAnsi="Arial" w:cs="Arial"/>
          <w:sz w:val="22"/>
          <w:szCs w:val="22"/>
          <w:lang w:val="es-MX" w:eastAsia="en-US"/>
        </w:rPr>
        <w:t xml:space="preserve"> </w:t>
      </w:r>
      <w:r w:rsidRPr="00433ECF">
        <w:rPr>
          <w:rFonts w:ascii="Arial" w:eastAsia="Calibri" w:hAnsi="Arial" w:cs="Arial"/>
          <w:sz w:val="22"/>
          <w:szCs w:val="22"/>
          <w:lang w:val="es-MX" w:eastAsia="en-US"/>
        </w:rPr>
        <w:t xml:space="preserve">del día </w:t>
      </w:r>
      <w:r w:rsidR="00F94FE7" w:rsidRPr="00433ECF">
        <w:rPr>
          <w:rFonts w:ascii="Arial" w:eastAsia="Calibri" w:hAnsi="Arial" w:cs="Arial"/>
          <w:sz w:val="22"/>
          <w:szCs w:val="22"/>
          <w:lang w:val="es-MX" w:eastAsia="en-US"/>
        </w:rPr>
        <w:t>2</w:t>
      </w:r>
      <w:r w:rsidR="00E426F9" w:rsidRPr="00433ECF">
        <w:rPr>
          <w:rFonts w:ascii="Arial" w:eastAsia="Calibri" w:hAnsi="Arial" w:cs="Arial"/>
          <w:sz w:val="22"/>
          <w:szCs w:val="22"/>
          <w:lang w:val="es-MX" w:eastAsia="en-US"/>
        </w:rPr>
        <w:t>7</w:t>
      </w:r>
      <w:r w:rsidRPr="00433ECF">
        <w:rPr>
          <w:rFonts w:ascii="Arial" w:eastAsia="Calibri" w:hAnsi="Arial" w:cs="Arial"/>
          <w:sz w:val="22"/>
          <w:szCs w:val="22"/>
          <w:lang w:val="es-MX" w:eastAsia="en-US"/>
        </w:rPr>
        <w:t xml:space="preserve"> de </w:t>
      </w:r>
      <w:r w:rsidR="00E426F9" w:rsidRPr="00433ECF">
        <w:rPr>
          <w:rFonts w:ascii="Arial" w:eastAsia="Calibri" w:hAnsi="Arial" w:cs="Arial"/>
          <w:sz w:val="22"/>
          <w:szCs w:val="22"/>
          <w:lang w:val="es-MX" w:eastAsia="en-US"/>
        </w:rPr>
        <w:t>abril</w:t>
      </w:r>
      <w:r w:rsidRPr="00433ECF">
        <w:rPr>
          <w:rFonts w:ascii="Arial" w:eastAsia="Calibri" w:hAnsi="Arial" w:cs="Arial"/>
          <w:sz w:val="22"/>
          <w:szCs w:val="22"/>
          <w:lang w:val="es-MX" w:eastAsia="en-US"/>
        </w:rPr>
        <w:t xml:space="preserve"> de 20</w:t>
      </w:r>
      <w:r w:rsidR="001C2F81" w:rsidRPr="00433ECF">
        <w:rPr>
          <w:rFonts w:ascii="Arial" w:eastAsia="Calibri" w:hAnsi="Arial" w:cs="Arial"/>
          <w:sz w:val="22"/>
          <w:szCs w:val="22"/>
          <w:lang w:val="es-MX" w:eastAsia="en-US"/>
        </w:rPr>
        <w:t>2</w:t>
      </w:r>
      <w:r w:rsidR="00E426F9" w:rsidRPr="00433ECF">
        <w:rPr>
          <w:rFonts w:ascii="Arial" w:eastAsia="Calibri" w:hAnsi="Arial" w:cs="Arial"/>
          <w:sz w:val="22"/>
          <w:szCs w:val="22"/>
          <w:lang w:val="es-MX" w:eastAsia="en-US"/>
        </w:rPr>
        <w:t>1</w:t>
      </w:r>
      <w:r w:rsidRPr="00433ECF">
        <w:rPr>
          <w:rFonts w:ascii="Arial" w:eastAsia="Calibri" w:hAnsi="Arial" w:cs="Arial"/>
          <w:sz w:val="22"/>
          <w:szCs w:val="22"/>
          <w:lang w:val="es-MX" w:eastAsia="en-US"/>
        </w:rPr>
        <w:t xml:space="preserve"> dos mil </w:t>
      </w:r>
      <w:r w:rsidR="001C2F81" w:rsidRPr="00433ECF">
        <w:rPr>
          <w:rFonts w:ascii="Arial" w:eastAsia="Calibri" w:hAnsi="Arial" w:cs="Arial"/>
          <w:sz w:val="22"/>
          <w:szCs w:val="22"/>
          <w:lang w:val="es-MX" w:eastAsia="en-US"/>
        </w:rPr>
        <w:t>veint</w:t>
      </w:r>
      <w:r w:rsidR="00E426F9" w:rsidRPr="00433ECF">
        <w:rPr>
          <w:rFonts w:ascii="Arial" w:eastAsia="Calibri" w:hAnsi="Arial" w:cs="Arial"/>
          <w:sz w:val="22"/>
          <w:szCs w:val="22"/>
          <w:lang w:val="es-MX" w:eastAsia="en-US"/>
        </w:rPr>
        <w:t>iuno</w:t>
      </w:r>
      <w:r w:rsidRPr="00433ECF">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433ECF">
        <w:rPr>
          <w:rFonts w:ascii="Arial" w:eastAsia="Calibri" w:hAnsi="Arial" w:cs="Arial"/>
          <w:b/>
          <w:sz w:val="22"/>
          <w:szCs w:val="22"/>
          <w:lang w:val="es-MX" w:eastAsia="en-US"/>
        </w:rPr>
        <w:t xml:space="preserve">Dra. </w:t>
      </w:r>
      <w:proofErr w:type="spellStart"/>
      <w:r w:rsidRPr="00433ECF">
        <w:rPr>
          <w:rFonts w:ascii="Arial" w:eastAsia="Calibri" w:hAnsi="Arial" w:cs="Arial"/>
          <w:b/>
          <w:sz w:val="22"/>
          <w:szCs w:val="22"/>
          <w:lang w:val="es-MX" w:eastAsia="en-US"/>
        </w:rPr>
        <w:t>Haimé</w:t>
      </w:r>
      <w:proofErr w:type="spellEnd"/>
      <w:r w:rsidRPr="00433ECF">
        <w:rPr>
          <w:rFonts w:ascii="Arial" w:eastAsia="Calibri" w:hAnsi="Arial" w:cs="Arial"/>
          <w:b/>
          <w:sz w:val="22"/>
          <w:szCs w:val="22"/>
          <w:lang w:val="es-MX" w:eastAsia="en-US"/>
        </w:rPr>
        <w:t xml:space="preserve"> Figueroa Neri</w:t>
      </w:r>
      <w:r w:rsidRPr="00433ECF">
        <w:rPr>
          <w:rFonts w:ascii="Arial" w:eastAsia="Calibri" w:hAnsi="Arial" w:cs="Arial"/>
          <w:sz w:val="22"/>
          <w:szCs w:val="22"/>
          <w:lang w:val="es-MX" w:eastAsia="en-US"/>
        </w:rPr>
        <w:t xml:space="preserve">, Secretaria Técnica; el </w:t>
      </w:r>
      <w:r w:rsidRPr="00433ECF">
        <w:rPr>
          <w:rFonts w:ascii="Arial" w:eastAsia="Calibri" w:hAnsi="Arial" w:cs="Arial"/>
          <w:b/>
          <w:sz w:val="22"/>
          <w:szCs w:val="22"/>
          <w:lang w:val="es-MX" w:eastAsia="en-US"/>
        </w:rPr>
        <w:t xml:space="preserve">Lic. </w:t>
      </w:r>
      <w:r w:rsidR="001C2F81" w:rsidRPr="00433ECF">
        <w:rPr>
          <w:rFonts w:ascii="Arial" w:eastAsia="Calibri" w:hAnsi="Arial" w:cs="Arial"/>
          <w:b/>
          <w:sz w:val="22"/>
          <w:szCs w:val="22"/>
          <w:lang w:val="es-MX" w:eastAsia="en-US"/>
        </w:rPr>
        <w:t>Miguel Navarro Flores</w:t>
      </w:r>
      <w:r w:rsidRPr="00433ECF">
        <w:rPr>
          <w:rFonts w:ascii="Arial" w:eastAsia="Calibri" w:hAnsi="Arial" w:cs="Arial"/>
          <w:b/>
          <w:sz w:val="22"/>
          <w:szCs w:val="22"/>
          <w:lang w:val="es-MX" w:eastAsia="en-US"/>
        </w:rPr>
        <w:t xml:space="preserve">, </w:t>
      </w:r>
      <w:r w:rsidR="001C2F81" w:rsidRPr="00433ECF">
        <w:rPr>
          <w:rFonts w:ascii="Arial" w:eastAsia="Calibri" w:hAnsi="Arial" w:cs="Arial"/>
          <w:sz w:val="22"/>
          <w:szCs w:val="22"/>
          <w:lang w:val="es-MX" w:eastAsia="en-US"/>
        </w:rPr>
        <w:t>Titular de</w:t>
      </w:r>
      <w:r w:rsidRPr="00433ECF">
        <w:rPr>
          <w:rFonts w:ascii="Arial" w:eastAsia="Calibri" w:hAnsi="Arial" w:cs="Arial"/>
          <w:sz w:val="22"/>
          <w:szCs w:val="22"/>
          <w:lang w:val="es-MX" w:eastAsia="en-US"/>
        </w:rPr>
        <w:t xml:space="preserve"> la Unidad de Transparencia de este sujeto obligado; así como el </w:t>
      </w:r>
      <w:r w:rsidR="00A04403" w:rsidRPr="00433ECF">
        <w:rPr>
          <w:rFonts w:ascii="Arial" w:eastAsia="Calibri" w:hAnsi="Arial" w:cs="Arial"/>
          <w:b/>
          <w:sz w:val="22"/>
          <w:szCs w:val="22"/>
          <w:lang w:val="es-MX" w:eastAsia="en-US"/>
        </w:rPr>
        <w:t>Dr</w:t>
      </w:r>
      <w:r w:rsidRPr="00433ECF">
        <w:rPr>
          <w:rFonts w:ascii="Arial" w:eastAsia="Calibri" w:hAnsi="Arial" w:cs="Arial"/>
          <w:b/>
          <w:sz w:val="22"/>
          <w:szCs w:val="22"/>
          <w:lang w:val="es-MX" w:eastAsia="en-US"/>
        </w:rPr>
        <w:t>.</w:t>
      </w:r>
      <w:r w:rsidRPr="00433ECF">
        <w:rPr>
          <w:rFonts w:ascii="Arial" w:eastAsia="Calibri" w:hAnsi="Arial" w:cs="Arial"/>
          <w:sz w:val="22"/>
          <w:szCs w:val="22"/>
          <w:lang w:val="es-MX" w:eastAsia="en-US"/>
        </w:rPr>
        <w:t xml:space="preserve"> </w:t>
      </w:r>
      <w:r w:rsidR="00A04403" w:rsidRPr="00433ECF">
        <w:rPr>
          <w:rFonts w:ascii="Arial" w:eastAsia="Calibri" w:hAnsi="Arial" w:cs="Arial"/>
          <w:b/>
          <w:sz w:val="22"/>
          <w:szCs w:val="22"/>
          <w:lang w:val="es-MX" w:eastAsia="en-US"/>
        </w:rPr>
        <w:t>Israel García Iñiguez</w:t>
      </w:r>
      <w:r w:rsidRPr="00433ECF">
        <w:rPr>
          <w:rFonts w:ascii="Arial" w:eastAsia="Calibri" w:hAnsi="Arial" w:cs="Arial"/>
          <w:sz w:val="22"/>
          <w:szCs w:val="22"/>
          <w:lang w:val="es-MX" w:eastAsia="en-US"/>
        </w:rPr>
        <w:t xml:space="preserve">, </w:t>
      </w:r>
      <w:r w:rsidR="00A04403" w:rsidRPr="00433ECF">
        <w:rPr>
          <w:rFonts w:ascii="Arial" w:eastAsia="Calibri" w:hAnsi="Arial" w:cs="Arial"/>
          <w:sz w:val="22"/>
          <w:szCs w:val="22"/>
          <w:lang w:val="es-MX" w:eastAsia="en-US"/>
        </w:rPr>
        <w:t>Titular</w:t>
      </w:r>
      <w:r w:rsidRPr="00433ECF">
        <w:rPr>
          <w:rFonts w:ascii="Arial" w:eastAsia="Calibri" w:hAnsi="Arial" w:cs="Arial"/>
          <w:sz w:val="22"/>
          <w:szCs w:val="22"/>
          <w:lang w:val="es-MX" w:eastAsia="en-US"/>
        </w:rPr>
        <w:t xml:space="preserve"> del Órgano Interno de Control de esta Secretaría Ejecutiva; siendo así, se somete a los presentes el siguiente: </w:t>
      </w:r>
    </w:p>
    <w:p w14:paraId="4F79BFAE" w14:textId="0CBB63D6" w:rsidR="00433ECF" w:rsidRDefault="00433ECF" w:rsidP="00CC5A5B">
      <w:pPr>
        <w:spacing w:after="160" w:line="259" w:lineRule="auto"/>
        <w:jc w:val="both"/>
        <w:rPr>
          <w:rFonts w:ascii="Arial" w:eastAsia="Calibri" w:hAnsi="Arial" w:cs="Arial"/>
          <w:sz w:val="22"/>
          <w:szCs w:val="22"/>
          <w:lang w:val="es-MX" w:eastAsia="en-US"/>
        </w:rPr>
      </w:pPr>
    </w:p>
    <w:p w14:paraId="0BF1B242" w14:textId="77777777" w:rsidR="00433ECF" w:rsidRPr="00433ECF" w:rsidRDefault="00433ECF" w:rsidP="00CC5A5B">
      <w:pPr>
        <w:spacing w:after="160" w:line="259" w:lineRule="auto"/>
        <w:jc w:val="both"/>
        <w:rPr>
          <w:rFonts w:ascii="Arial" w:eastAsia="Calibri" w:hAnsi="Arial" w:cs="Arial"/>
          <w:sz w:val="22"/>
          <w:szCs w:val="22"/>
          <w:lang w:val="es-MX" w:eastAsia="en-US"/>
        </w:rPr>
      </w:pPr>
    </w:p>
    <w:p w14:paraId="2D9BBD70" w14:textId="57235F2D" w:rsidR="00CC5A5B" w:rsidRDefault="00CC5A5B" w:rsidP="00CC5A5B">
      <w:pPr>
        <w:spacing w:after="160" w:line="259" w:lineRule="auto"/>
        <w:jc w:val="center"/>
        <w:rPr>
          <w:rFonts w:ascii="Arial" w:eastAsia="Calibri" w:hAnsi="Arial" w:cs="Arial"/>
          <w:b/>
          <w:sz w:val="22"/>
          <w:szCs w:val="22"/>
          <w:lang w:val="es-MX" w:eastAsia="en-US"/>
        </w:rPr>
      </w:pPr>
      <w:r w:rsidRPr="00433ECF">
        <w:rPr>
          <w:rFonts w:ascii="Arial" w:eastAsia="Calibri" w:hAnsi="Arial" w:cs="Arial"/>
          <w:b/>
          <w:sz w:val="22"/>
          <w:szCs w:val="22"/>
          <w:lang w:val="es-MX" w:eastAsia="en-US"/>
        </w:rPr>
        <w:t>ORDEN DEL DÍA</w:t>
      </w:r>
    </w:p>
    <w:p w14:paraId="03071439" w14:textId="77777777" w:rsidR="00433ECF" w:rsidRPr="00433ECF" w:rsidRDefault="00433ECF" w:rsidP="00CC5A5B">
      <w:pPr>
        <w:spacing w:after="160" w:line="259" w:lineRule="auto"/>
        <w:jc w:val="center"/>
        <w:rPr>
          <w:rFonts w:ascii="Arial" w:eastAsia="Calibri" w:hAnsi="Arial" w:cs="Arial"/>
          <w:b/>
          <w:sz w:val="22"/>
          <w:szCs w:val="22"/>
          <w:lang w:val="es-MX" w:eastAsia="en-US"/>
        </w:rPr>
      </w:pPr>
    </w:p>
    <w:p w14:paraId="4ABF4588" w14:textId="77777777" w:rsidR="00CC5A5B" w:rsidRPr="00433ECF"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Lista de asistencia;</w:t>
      </w:r>
    </w:p>
    <w:p w14:paraId="26DB5610" w14:textId="77777777" w:rsidR="00CC5A5B" w:rsidRPr="00433ECF"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Declaratoria de quórum;</w:t>
      </w:r>
    </w:p>
    <w:p w14:paraId="28DA8476" w14:textId="77777777" w:rsidR="00E426F9" w:rsidRPr="00433ECF" w:rsidRDefault="00CC5A5B" w:rsidP="007451E7">
      <w:pPr>
        <w:numPr>
          <w:ilvl w:val="0"/>
          <w:numId w:val="2"/>
        </w:numPr>
        <w:spacing w:after="160" w:line="252" w:lineRule="auto"/>
        <w:contextualSpacing/>
        <w:jc w:val="both"/>
        <w:rPr>
          <w:rFonts w:ascii="Arial" w:eastAsia="Times New Roman" w:hAnsi="Arial" w:cs="Arial"/>
          <w:sz w:val="22"/>
          <w:szCs w:val="22"/>
        </w:rPr>
      </w:pPr>
      <w:r w:rsidRPr="00433ECF">
        <w:rPr>
          <w:rFonts w:ascii="Arial" w:eastAsia="Calibri" w:hAnsi="Arial" w:cs="Arial"/>
          <w:sz w:val="22"/>
          <w:szCs w:val="22"/>
          <w:lang w:val="es-MX" w:eastAsia="en-US"/>
        </w:rPr>
        <w:t>Lectura y en su caso, aprobación del Orden del Día;</w:t>
      </w:r>
      <w:bookmarkStart w:id="0" w:name="_Hlk21512778"/>
    </w:p>
    <w:p w14:paraId="638DA91F" w14:textId="78B0EB02" w:rsidR="00E426F9" w:rsidRPr="00433ECF" w:rsidRDefault="00E426F9" w:rsidP="007451E7">
      <w:pPr>
        <w:numPr>
          <w:ilvl w:val="0"/>
          <w:numId w:val="2"/>
        </w:numPr>
        <w:spacing w:after="160" w:line="252" w:lineRule="auto"/>
        <w:contextualSpacing/>
        <w:jc w:val="both"/>
        <w:rPr>
          <w:rFonts w:ascii="Arial" w:eastAsia="Times New Roman" w:hAnsi="Arial" w:cs="Arial"/>
          <w:sz w:val="22"/>
          <w:szCs w:val="22"/>
        </w:rPr>
      </w:pPr>
      <w:r w:rsidRPr="00433ECF">
        <w:rPr>
          <w:rFonts w:ascii="Arial" w:hAnsi="Arial" w:cs="Arial"/>
          <w:sz w:val="22"/>
          <w:szCs w:val="22"/>
        </w:rPr>
        <w:t xml:space="preserve">Presentación y en su caso aprobación de la reserva, que se deriva de la solicitud de información recibida oficialmente mediante el sistema electrónico </w:t>
      </w:r>
      <w:proofErr w:type="spellStart"/>
      <w:r w:rsidRPr="00433ECF">
        <w:rPr>
          <w:rFonts w:ascii="Arial" w:hAnsi="Arial" w:cs="Arial"/>
          <w:sz w:val="22"/>
          <w:szCs w:val="22"/>
        </w:rPr>
        <w:t>informex</w:t>
      </w:r>
      <w:proofErr w:type="spellEnd"/>
      <w:r w:rsidRPr="00433ECF">
        <w:rPr>
          <w:rFonts w:ascii="Arial" w:hAnsi="Arial" w:cs="Arial"/>
          <w:sz w:val="22"/>
          <w:szCs w:val="22"/>
        </w:rPr>
        <w:t>, bajo el número de folio 03231721, a la que se le asignara el número de expediente interno 61/2021</w:t>
      </w:r>
      <w:r w:rsidR="00893481" w:rsidRPr="00433ECF">
        <w:rPr>
          <w:rFonts w:ascii="Arial" w:hAnsi="Arial" w:cs="Arial"/>
          <w:sz w:val="22"/>
          <w:szCs w:val="22"/>
        </w:rPr>
        <w:t>;</w:t>
      </w:r>
    </w:p>
    <w:p w14:paraId="1A1CC498" w14:textId="77777777" w:rsidR="00893481" w:rsidRPr="00433ECF" w:rsidRDefault="00893481" w:rsidP="00893481">
      <w:pPr>
        <w:numPr>
          <w:ilvl w:val="0"/>
          <w:numId w:val="2"/>
        </w:numPr>
        <w:spacing w:line="252" w:lineRule="auto"/>
        <w:contextualSpacing/>
        <w:jc w:val="both"/>
        <w:rPr>
          <w:rFonts w:ascii="Arial" w:eastAsia="Times New Roman" w:hAnsi="Arial" w:cs="Arial"/>
          <w:sz w:val="22"/>
          <w:szCs w:val="22"/>
        </w:rPr>
      </w:pPr>
      <w:r w:rsidRPr="00433ECF">
        <w:rPr>
          <w:rFonts w:ascii="Arial" w:hAnsi="Arial" w:cs="Arial"/>
          <w:sz w:val="22"/>
          <w:szCs w:val="22"/>
        </w:rPr>
        <w:t>Presentación y aprobación, en su caso, de la versión pública de la declaración de situación patrimonial y de interés de los trabajadores de la Secretaria Ejecutiva del Sistema, dichas declaraciones propuestas por el Órgano Interno de Control, para cumplir con las obligaciones de transparencia, de mantener actualizada la información fundamental que genera dicha área.</w:t>
      </w:r>
    </w:p>
    <w:p w14:paraId="363493F4" w14:textId="77777777" w:rsidR="00893481" w:rsidRPr="00433ECF" w:rsidRDefault="00893481" w:rsidP="00893481">
      <w:pPr>
        <w:spacing w:after="160" w:line="252" w:lineRule="auto"/>
        <w:ind w:left="720"/>
        <w:contextualSpacing/>
        <w:jc w:val="both"/>
        <w:rPr>
          <w:rFonts w:ascii="Arial" w:eastAsia="Times New Roman" w:hAnsi="Arial" w:cs="Arial"/>
          <w:sz w:val="22"/>
          <w:szCs w:val="22"/>
        </w:rPr>
      </w:pPr>
    </w:p>
    <w:p w14:paraId="7189FEA1" w14:textId="77777777" w:rsidR="00814488" w:rsidRPr="00433ECF" w:rsidRDefault="00814488" w:rsidP="00CC5A5B">
      <w:pPr>
        <w:spacing w:after="160" w:line="259" w:lineRule="auto"/>
        <w:ind w:left="720"/>
        <w:contextualSpacing/>
        <w:jc w:val="both"/>
        <w:rPr>
          <w:rFonts w:ascii="Arial" w:eastAsia="Calibri" w:hAnsi="Arial" w:cs="Arial"/>
          <w:sz w:val="22"/>
          <w:szCs w:val="22"/>
          <w:lang w:val="es-MX" w:eastAsia="en-US"/>
        </w:rPr>
      </w:pPr>
    </w:p>
    <w:bookmarkEnd w:id="0"/>
    <w:p w14:paraId="55FA5C80" w14:textId="419F7E23" w:rsidR="00CC5A5B" w:rsidRDefault="00CC5A5B" w:rsidP="00CC5A5B">
      <w:pPr>
        <w:spacing w:after="160" w:line="259" w:lineRule="auto"/>
        <w:rPr>
          <w:rFonts w:ascii="Arial" w:eastAsia="Calibri" w:hAnsi="Arial" w:cs="Arial"/>
          <w:b/>
          <w:sz w:val="22"/>
          <w:szCs w:val="22"/>
          <w:lang w:val="es-MX" w:eastAsia="en-US"/>
        </w:rPr>
      </w:pPr>
      <w:r w:rsidRPr="00433ECF">
        <w:rPr>
          <w:rFonts w:ascii="Arial" w:eastAsia="Calibri" w:hAnsi="Arial" w:cs="Arial"/>
          <w:b/>
          <w:sz w:val="22"/>
          <w:szCs w:val="22"/>
          <w:lang w:val="es-MX" w:eastAsia="en-US"/>
        </w:rPr>
        <w:t>DESAHOGO DE LA ORDEN DEL DÍA</w:t>
      </w:r>
    </w:p>
    <w:p w14:paraId="1EB6DDBC" w14:textId="77777777" w:rsidR="00433ECF" w:rsidRPr="00433ECF" w:rsidRDefault="00433ECF" w:rsidP="00CC5A5B">
      <w:pPr>
        <w:spacing w:after="160" w:line="259" w:lineRule="auto"/>
        <w:rPr>
          <w:rFonts w:ascii="Arial" w:eastAsia="Calibri" w:hAnsi="Arial" w:cs="Arial"/>
          <w:b/>
          <w:sz w:val="22"/>
          <w:szCs w:val="22"/>
          <w:lang w:val="es-MX" w:eastAsia="en-US"/>
        </w:rPr>
      </w:pPr>
    </w:p>
    <w:p w14:paraId="00BB77A4" w14:textId="77777777" w:rsidR="00CC5A5B" w:rsidRPr="00433ECF"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t>LISTA DE ASISTENCIA;</w:t>
      </w:r>
    </w:p>
    <w:p w14:paraId="32E97997" w14:textId="77777777" w:rsidR="0033666D" w:rsidRPr="00433ECF" w:rsidRDefault="0033666D" w:rsidP="0033666D">
      <w:pPr>
        <w:spacing w:after="160" w:line="259" w:lineRule="auto"/>
        <w:ind w:left="720"/>
        <w:contextualSpacing/>
        <w:jc w:val="both"/>
        <w:rPr>
          <w:rFonts w:ascii="Arial" w:eastAsia="Calibri" w:hAnsi="Arial" w:cs="Arial"/>
          <w:b/>
          <w:sz w:val="22"/>
          <w:szCs w:val="22"/>
          <w:lang w:val="es-MX" w:eastAsia="en-US"/>
        </w:rPr>
      </w:pPr>
    </w:p>
    <w:p w14:paraId="0DBDF217" w14:textId="52503337" w:rsidR="00433ECF" w:rsidRPr="00433ECF" w:rsidRDefault="00CC5A5B" w:rsidP="00CC5A5B">
      <w:pPr>
        <w:tabs>
          <w:tab w:val="left" w:pos="284"/>
        </w:tabs>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558D4DB9" w14:textId="77777777" w:rsidR="00CC5A5B" w:rsidRPr="00433ECF" w:rsidRDefault="00CC5A5B" w:rsidP="00CC5A5B">
      <w:pPr>
        <w:spacing w:after="160" w:line="259" w:lineRule="auto"/>
        <w:jc w:val="both"/>
        <w:rPr>
          <w:rFonts w:ascii="Arial" w:eastAsia="Calibri" w:hAnsi="Arial" w:cs="Arial"/>
          <w:sz w:val="22"/>
          <w:szCs w:val="22"/>
          <w:lang w:val="es-MX" w:eastAsia="en-US"/>
        </w:rPr>
      </w:pPr>
    </w:p>
    <w:p w14:paraId="28EB8B13" w14:textId="77777777" w:rsidR="00CC5A5B" w:rsidRPr="00433ECF"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lastRenderedPageBreak/>
        <w:t>DECLARACIÓN DEL QUORUM;</w:t>
      </w:r>
    </w:p>
    <w:p w14:paraId="6F431BB6" w14:textId="77777777" w:rsidR="0033666D" w:rsidRPr="00433ECF" w:rsidRDefault="0033666D" w:rsidP="0033666D">
      <w:pPr>
        <w:spacing w:after="160" w:line="259" w:lineRule="auto"/>
        <w:ind w:left="720"/>
        <w:contextualSpacing/>
        <w:jc w:val="both"/>
        <w:rPr>
          <w:rFonts w:ascii="Arial" w:eastAsia="Calibri" w:hAnsi="Arial" w:cs="Arial"/>
          <w:b/>
          <w:sz w:val="22"/>
          <w:szCs w:val="22"/>
          <w:lang w:val="es-MX" w:eastAsia="en-US"/>
        </w:rPr>
      </w:pPr>
    </w:p>
    <w:p w14:paraId="7C8AFDB7" w14:textId="77777777" w:rsidR="00CC5A5B" w:rsidRPr="00433ECF" w:rsidRDefault="00CC5A5B" w:rsidP="00CC5A5B">
      <w:pPr>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7B344532" w14:textId="77777777" w:rsidR="00CC5A5B" w:rsidRPr="00433ECF" w:rsidRDefault="00CC5A5B" w:rsidP="00CC5A5B">
      <w:pPr>
        <w:spacing w:after="160" w:line="259" w:lineRule="auto"/>
        <w:jc w:val="both"/>
        <w:rPr>
          <w:rFonts w:ascii="Arial" w:eastAsia="Calibri" w:hAnsi="Arial" w:cs="Arial"/>
          <w:sz w:val="22"/>
          <w:szCs w:val="22"/>
          <w:lang w:val="es-MX" w:eastAsia="en-US"/>
        </w:rPr>
      </w:pPr>
    </w:p>
    <w:p w14:paraId="1F4F88C6" w14:textId="77777777" w:rsidR="00CC5A5B" w:rsidRPr="00433ECF"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t>LECTURA Y EN SU CASO, APROBACIÓN DEL ORDEN DEL DÍA</w:t>
      </w:r>
    </w:p>
    <w:p w14:paraId="493EE647" w14:textId="77777777" w:rsidR="0033666D" w:rsidRPr="00433ECF" w:rsidRDefault="0033666D" w:rsidP="0033666D">
      <w:pPr>
        <w:spacing w:after="160" w:line="259" w:lineRule="auto"/>
        <w:ind w:left="720"/>
        <w:contextualSpacing/>
        <w:jc w:val="both"/>
        <w:rPr>
          <w:rFonts w:ascii="Arial" w:eastAsia="Calibri" w:hAnsi="Arial" w:cs="Arial"/>
          <w:b/>
          <w:sz w:val="22"/>
          <w:szCs w:val="22"/>
          <w:lang w:val="es-MX" w:eastAsia="en-US"/>
        </w:rPr>
      </w:pPr>
    </w:p>
    <w:p w14:paraId="0D14FD2D" w14:textId="77777777" w:rsidR="00995378" w:rsidRPr="00433ECF" w:rsidRDefault="00CC5A5B" w:rsidP="00CC5A5B">
      <w:pPr>
        <w:spacing w:after="160" w:line="259"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7941507B" w14:textId="77777777" w:rsidR="00662697" w:rsidRPr="00433ECF" w:rsidRDefault="00662697" w:rsidP="00CC5A5B">
      <w:pPr>
        <w:spacing w:after="160" w:line="259" w:lineRule="auto"/>
        <w:jc w:val="both"/>
        <w:rPr>
          <w:rFonts w:ascii="Arial" w:eastAsia="Calibri" w:hAnsi="Arial" w:cs="Arial"/>
          <w:sz w:val="22"/>
          <w:szCs w:val="22"/>
          <w:lang w:val="es-MX" w:eastAsia="en-US"/>
        </w:rPr>
      </w:pPr>
    </w:p>
    <w:p w14:paraId="5F4A0AE0" w14:textId="2C8CCC27" w:rsidR="00E426F9" w:rsidRPr="00433ECF" w:rsidRDefault="00E426F9" w:rsidP="00E426F9">
      <w:pPr>
        <w:pStyle w:val="Prrafodelista"/>
        <w:numPr>
          <w:ilvl w:val="0"/>
          <w:numId w:val="1"/>
        </w:numPr>
        <w:spacing w:after="160" w:line="252" w:lineRule="auto"/>
        <w:contextualSpacing/>
        <w:rPr>
          <w:rFonts w:ascii="Arial" w:hAnsi="Arial" w:cs="Arial"/>
          <w:b/>
          <w:bCs/>
          <w:sz w:val="22"/>
          <w:szCs w:val="22"/>
        </w:rPr>
      </w:pPr>
      <w:r w:rsidRPr="00433ECF">
        <w:rPr>
          <w:rFonts w:ascii="Arial" w:hAnsi="Arial" w:cs="Arial"/>
          <w:b/>
          <w:bCs/>
          <w:sz w:val="22"/>
          <w:szCs w:val="22"/>
        </w:rPr>
        <w:t>PRESENTACIÓN Y EN SU CASO APROBACIÓN DE LA RESERVA, QUE SE DERIVA DE LA SOLICITUD DE INFORMACIÓN RECIBIDA OFICIALMENTE MEDIANTE EL SISTEMA ELECTRÓNICO INFORMEX, BAJO EL NÚMERO DE FOLIO 03231721, A LA QUE SE LE ASIGNARA EL NÚMERO DE EXPEDIENTE INTERNO 61/2021.</w:t>
      </w:r>
    </w:p>
    <w:p w14:paraId="0700F522" w14:textId="77777777" w:rsidR="00CA7B94" w:rsidRPr="00433ECF" w:rsidRDefault="00CA7B94" w:rsidP="0074715F">
      <w:pPr>
        <w:jc w:val="both"/>
        <w:rPr>
          <w:rFonts w:ascii="Arial" w:hAnsi="Arial" w:cs="Arial"/>
          <w:sz w:val="22"/>
          <w:szCs w:val="22"/>
        </w:rPr>
      </w:pPr>
    </w:p>
    <w:p w14:paraId="5A2060E8" w14:textId="2284FB83" w:rsidR="00E426F9" w:rsidRPr="00433ECF" w:rsidRDefault="00174C6D" w:rsidP="0074715F">
      <w:pPr>
        <w:jc w:val="both"/>
        <w:rPr>
          <w:rFonts w:ascii="Arial" w:hAnsi="Arial" w:cs="Arial"/>
          <w:sz w:val="22"/>
          <w:szCs w:val="22"/>
        </w:rPr>
      </w:pPr>
      <w:r w:rsidRPr="00433ECF">
        <w:rPr>
          <w:rFonts w:ascii="Arial" w:hAnsi="Arial" w:cs="Arial"/>
          <w:sz w:val="22"/>
          <w:szCs w:val="22"/>
        </w:rPr>
        <w:t xml:space="preserve">El secretario expone que </w:t>
      </w:r>
      <w:r w:rsidR="00E426F9" w:rsidRPr="00433ECF">
        <w:rPr>
          <w:rFonts w:ascii="Arial" w:hAnsi="Arial" w:cs="Arial"/>
          <w:sz w:val="22"/>
          <w:szCs w:val="22"/>
        </w:rPr>
        <w:t xml:space="preserve">el día 15 de abril del año en curos, mediante el sistema electrónico </w:t>
      </w:r>
      <w:proofErr w:type="spellStart"/>
      <w:r w:rsidR="00E426F9" w:rsidRPr="00433ECF">
        <w:rPr>
          <w:rFonts w:ascii="Arial" w:hAnsi="Arial" w:cs="Arial"/>
          <w:sz w:val="22"/>
          <w:szCs w:val="22"/>
        </w:rPr>
        <w:t>infomex</w:t>
      </w:r>
      <w:proofErr w:type="spellEnd"/>
      <w:r w:rsidR="00E426F9" w:rsidRPr="00433ECF">
        <w:rPr>
          <w:rFonts w:ascii="Arial" w:hAnsi="Arial" w:cs="Arial"/>
          <w:sz w:val="22"/>
          <w:szCs w:val="22"/>
        </w:rPr>
        <w:t>, se recibió una solicitud de información con numero de folio 03231721, a la que se le asignara el numero de expediente interno SESAJ/UT/61/2021, en la que solicita textualmente lo siguiente:</w:t>
      </w:r>
    </w:p>
    <w:p w14:paraId="62B197B2" w14:textId="52156FF7" w:rsidR="00E426F9" w:rsidRPr="00433ECF" w:rsidRDefault="00E426F9" w:rsidP="0074715F">
      <w:pPr>
        <w:jc w:val="both"/>
        <w:rPr>
          <w:rFonts w:ascii="Arial" w:hAnsi="Arial" w:cs="Arial"/>
          <w:sz w:val="22"/>
          <w:szCs w:val="22"/>
        </w:rPr>
      </w:pPr>
    </w:p>
    <w:p w14:paraId="027F6F9D" w14:textId="77777777" w:rsidR="00E426F9" w:rsidRPr="00433ECF" w:rsidRDefault="00E426F9" w:rsidP="00E426F9">
      <w:pPr>
        <w:autoSpaceDE w:val="0"/>
        <w:autoSpaceDN w:val="0"/>
        <w:adjustRightInd w:val="0"/>
        <w:ind w:left="426" w:right="567"/>
        <w:jc w:val="both"/>
        <w:rPr>
          <w:rFonts w:ascii="Arial" w:eastAsia="Cambria" w:hAnsi="Arial" w:cs="Arial"/>
          <w:b/>
          <w:sz w:val="22"/>
          <w:szCs w:val="22"/>
          <w:lang w:val="es-MX" w:eastAsia="es-MX"/>
        </w:rPr>
      </w:pPr>
      <w:r w:rsidRPr="00433ECF">
        <w:rPr>
          <w:rFonts w:ascii="Arial" w:eastAsia="Times New Roman" w:hAnsi="Arial" w:cs="Arial"/>
          <w:b/>
          <w:i/>
          <w:color w:val="000000"/>
          <w:sz w:val="22"/>
          <w:szCs w:val="22"/>
          <w:lang w:val="es-ES"/>
        </w:rPr>
        <w:t>“</w:t>
      </w:r>
      <w:r w:rsidRPr="00433ECF">
        <w:rPr>
          <w:rFonts w:ascii="Arial" w:eastAsia="Cambria" w:hAnsi="Arial" w:cs="Arial"/>
          <w:b/>
          <w:sz w:val="22"/>
          <w:szCs w:val="22"/>
          <w:lang w:val="es-MX" w:eastAsia="es-MX"/>
        </w:rPr>
        <w:t xml:space="preserve">Copia simple del expediente relativo al juicio de amparo 316/2021-IV interpuesto en contra del </w:t>
      </w:r>
      <w:proofErr w:type="spellStart"/>
      <w:r w:rsidRPr="00433ECF">
        <w:rPr>
          <w:rFonts w:ascii="Arial" w:eastAsia="Cambria" w:hAnsi="Arial" w:cs="Arial"/>
          <w:b/>
          <w:sz w:val="22"/>
          <w:szCs w:val="22"/>
          <w:lang w:val="es-MX" w:eastAsia="es-MX"/>
        </w:rPr>
        <w:t>Organo</w:t>
      </w:r>
      <w:proofErr w:type="spellEnd"/>
      <w:r w:rsidRPr="00433ECF">
        <w:rPr>
          <w:rFonts w:ascii="Arial" w:eastAsia="Cambria" w:hAnsi="Arial" w:cs="Arial"/>
          <w:b/>
          <w:sz w:val="22"/>
          <w:szCs w:val="22"/>
          <w:lang w:val="es-MX" w:eastAsia="es-MX"/>
        </w:rPr>
        <w:t xml:space="preserve"> de Gobierno de la Secretaria Ejecutiva del Sistema Estatal Anticorrupción (entre otras autoridades); y la relación, si es el caso, de las demás demandas de amparo interpuesta por el resto </w:t>
      </w:r>
      <w:proofErr w:type="gramStart"/>
      <w:r w:rsidRPr="00433ECF">
        <w:rPr>
          <w:rFonts w:ascii="Arial" w:eastAsia="Cambria" w:hAnsi="Arial" w:cs="Arial"/>
          <w:b/>
          <w:sz w:val="22"/>
          <w:szCs w:val="22"/>
          <w:lang w:val="es-MX" w:eastAsia="es-MX"/>
        </w:rPr>
        <w:t>de los consejero</w:t>
      </w:r>
      <w:proofErr w:type="gramEnd"/>
      <w:r w:rsidRPr="00433ECF">
        <w:rPr>
          <w:rFonts w:ascii="Arial" w:eastAsia="Cambria" w:hAnsi="Arial" w:cs="Arial"/>
          <w:b/>
          <w:sz w:val="22"/>
          <w:szCs w:val="22"/>
          <w:lang w:val="es-MX" w:eastAsia="es-MX"/>
        </w:rPr>
        <w:t xml:space="preserve"> del Consejo de Participación Social en contra del citado Órgano de Gobierno</w:t>
      </w:r>
      <w:r w:rsidRPr="00433ECF">
        <w:rPr>
          <w:rFonts w:ascii="Arial" w:eastAsia="Cambria" w:hAnsi="Arial" w:cs="Arial"/>
          <w:b/>
          <w:i/>
          <w:sz w:val="22"/>
          <w:szCs w:val="22"/>
          <w:lang w:val="es-MX" w:eastAsia="es-MX"/>
        </w:rPr>
        <w:t xml:space="preserve"> … (Sic)”</w:t>
      </w:r>
    </w:p>
    <w:p w14:paraId="1B752A94" w14:textId="72D55C05" w:rsidR="00E426F9" w:rsidRPr="00433ECF" w:rsidRDefault="00E426F9" w:rsidP="0074715F">
      <w:pPr>
        <w:jc w:val="both"/>
        <w:rPr>
          <w:rFonts w:ascii="Arial" w:hAnsi="Arial" w:cs="Arial"/>
          <w:sz w:val="22"/>
          <w:szCs w:val="22"/>
        </w:rPr>
      </w:pPr>
    </w:p>
    <w:p w14:paraId="4AC8C5C9" w14:textId="59F64E3C" w:rsidR="0074715F" w:rsidRPr="00433ECF" w:rsidRDefault="00E426F9" w:rsidP="0074715F">
      <w:pPr>
        <w:jc w:val="both"/>
        <w:rPr>
          <w:rFonts w:ascii="Arial" w:hAnsi="Arial" w:cs="Arial"/>
          <w:sz w:val="22"/>
          <w:szCs w:val="22"/>
        </w:rPr>
      </w:pPr>
      <w:r w:rsidRPr="00433ECF">
        <w:rPr>
          <w:rFonts w:ascii="Arial" w:hAnsi="Arial" w:cs="Arial"/>
          <w:sz w:val="22"/>
          <w:szCs w:val="22"/>
        </w:rPr>
        <w:t xml:space="preserve">Una vez analizada la petición de información, se requiero a la Coordinación de Asuntos </w:t>
      </w:r>
      <w:r w:rsidR="00893481" w:rsidRPr="00433ECF">
        <w:rPr>
          <w:rFonts w:ascii="Arial" w:hAnsi="Arial" w:cs="Arial"/>
          <w:sz w:val="22"/>
          <w:szCs w:val="22"/>
        </w:rPr>
        <w:t>jurídicos de esta Secretaría Ejecutiva del Sistema Estatal Anticorrupción</w:t>
      </w:r>
      <w:r w:rsidR="00C12F3C" w:rsidRPr="00433ECF">
        <w:rPr>
          <w:rFonts w:ascii="Arial" w:hAnsi="Arial" w:cs="Arial"/>
          <w:sz w:val="22"/>
          <w:szCs w:val="22"/>
        </w:rPr>
        <w:t xml:space="preserve"> mediante el oficio SESAJ/UT/212/2021,</w:t>
      </w:r>
      <w:r w:rsidR="00893481" w:rsidRPr="00433ECF">
        <w:rPr>
          <w:rFonts w:ascii="Arial" w:hAnsi="Arial" w:cs="Arial"/>
          <w:sz w:val="22"/>
          <w:szCs w:val="22"/>
        </w:rPr>
        <w:t xml:space="preserve"> por lo cual </w:t>
      </w:r>
      <w:r w:rsidR="00C12F3C" w:rsidRPr="00433ECF">
        <w:rPr>
          <w:rFonts w:ascii="Arial" w:hAnsi="Arial" w:cs="Arial"/>
          <w:sz w:val="22"/>
          <w:szCs w:val="22"/>
        </w:rPr>
        <w:t xml:space="preserve">dicha Coordinación de asuntos Jurídicos, mediante su memorándum SESAJ/CAJ/016/2021 de fecha 22 de abril del año en curso, informa que la información requerida por el ciudadano, en su petición de información, se encuentra en los supuesto de reserva </w:t>
      </w:r>
      <w:r w:rsidR="0074715F" w:rsidRPr="00433ECF">
        <w:rPr>
          <w:rFonts w:ascii="Arial" w:hAnsi="Arial" w:cs="Arial"/>
          <w:sz w:val="22"/>
          <w:szCs w:val="22"/>
        </w:rPr>
        <w:t xml:space="preserve">de conformidad con lo establecido en el artículo </w:t>
      </w:r>
      <w:r w:rsidR="00C12F3C" w:rsidRPr="00433ECF">
        <w:rPr>
          <w:rFonts w:ascii="Arial" w:hAnsi="Arial" w:cs="Arial"/>
          <w:sz w:val="22"/>
          <w:szCs w:val="22"/>
        </w:rPr>
        <w:t>17.1</w:t>
      </w:r>
      <w:r w:rsidR="0074715F" w:rsidRPr="00433ECF">
        <w:rPr>
          <w:rFonts w:ascii="Arial" w:hAnsi="Arial" w:cs="Arial"/>
          <w:sz w:val="22"/>
          <w:szCs w:val="22"/>
        </w:rPr>
        <w:t xml:space="preserve">, fracción I, inciso </w:t>
      </w:r>
      <w:r w:rsidR="00C12F3C" w:rsidRPr="00433ECF">
        <w:rPr>
          <w:rFonts w:ascii="Arial" w:hAnsi="Arial" w:cs="Arial"/>
          <w:sz w:val="22"/>
          <w:szCs w:val="22"/>
        </w:rPr>
        <w:t>g) y III</w:t>
      </w:r>
      <w:r w:rsidR="0074715F" w:rsidRPr="00433ECF">
        <w:rPr>
          <w:rFonts w:ascii="Arial" w:hAnsi="Arial" w:cs="Arial"/>
          <w:sz w:val="22"/>
          <w:szCs w:val="22"/>
        </w:rPr>
        <w:t xml:space="preserve"> de la</w:t>
      </w:r>
      <w:r w:rsidR="0074715F" w:rsidRPr="00433ECF">
        <w:rPr>
          <w:rFonts w:ascii="Arial" w:hAnsi="Arial" w:cs="Arial"/>
          <w:b/>
          <w:sz w:val="22"/>
          <w:szCs w:val="22"/>
        </w:rPr>
        <w:t xml:space="preserve"> </w:t>
      </w:r>
      <w:r w:rsidR="0074715F" w:rsidRPr="00433ECF">
        <w:rPr>
          <w:rFonts w:ascii="Arial" w:hAnsi="Arial" w:cs="Arial"/>
          <w:sz w:val="22"/>
          <w:szCs w:val="22"/>
          <w:lang w:val="es-MX"/>
        </w:rPr>
        <w:t>Ley de Transparencia y Acceso a la Información Pública del Estado de Jalisco y sus Municipios</w:t>
      </w:r>
      <w:r w:rsidR="0074715F" w:rsidRPr="00433ECF">
        <w:rPr>
          <w:rFonts w:ascii="Arial" w:hAnsi="Arial" w:cs="Arial"/>
          <w:b/>
          <w:sz w:val="22"/>
          <w:szCs w:val="22"/>
        </w:rPr>
        <w:t xml:space="preserve"> entendiéndose como información reservada aquella información pública protegida, relativa a  la función pública que por disposición legal temporalmente queda prohibido su manejo, distribución, publicación y difusión generales, con excepción de las autoridades competentes que, de conformidad con la ley, tengan acceso a ella. </w:t>
      </w:r>
    </w:p>
    <w:p w14:paraId="38D568AE" w14:textId="69C9A962" w:rsidR="0074715F" w:rsidRDefault="0074715F" w:rsidP="0074715F">
      <w:pPr>
        <w:jc w:val="both"/>
        <w:rPr>
          <w:rFonts w:ascii="Arial" w:hAnsi="Arial" w:cs="Arial"/>
          <w:sz w:val="22"/>
          <w:szCs w:val="22"/>
        </w:rPr>
      </w:pPr>
    </w:p>
    <w:p w14:paraId="7873FDB9" w14:textId="14D99C58" w:rsidR="00433ECF" w:rsidRDefault="00433ECF" w:rsidP="0074715F">
      <w:pPr>
        <w:jc w:val="both"/>
        <w:rPr>
          <w:rFonts w:ascii="Arial" w:hAnsi="Arial" w:cs="Arial"/>
          <w:sz w:val="22"/>
          <w:szCs w:val="22"/>
        </w:rPr>
      </w:pPr>
    </w:p>
    <w:p w14:paraId="7B4F9270" w14:textId="77777777" w:rsidR="00433ECF" w:rsidRPr="00433ECF" w:rsidRDefault="00433ECF" w:rsidP="0074715F">
      <w:pPr>
        <w:jc w:val="both"/>
        <w:rPr>
          <w:rFonts w:ascii="Arial" w:hAnsi="Arial" w:cs="Arial"/>
          <w:sz w:val="22"/>
          <w:szCs w:val="22"/>
        </w:rPr>
      </w:pPr>
    </w:p>
    <w:p w14:paraId="6E1DBF16" w14:textId="77777777" w:rsidR="0074715F" w:rsidRPr="00433ECF" w:rsidRDefault="0074715F" w:rsidP="0074715F">
      <w:pPr>
        <w:jc w:val="center"/>
        <w:rPr>
          <w:rFonts w:ascii="Arial" w:eastAsia="Times New Roman" w:hAnsi="Arial" w:cs="Arial"/>
          <w:b/>
          <w:sz w:val="22"/>
          <w:szCs w:val="22"/>
        </w:rPr>
      </w:pPr>
      <w:r w:rsidRPr="00433ECF">
        <w:rPr>
          <w:rFonts w:ascii="Arial" w:hAnsi="Arial" w:cs="Arial"/>
          <w:b/>
          <w:sz w:val="22"/>
          <w:szCs w:val="22"/>
        </w:rPr>
        <w:t>PRUEBA DE DAÑO</w:t>
      </w:r>
    </w:p>
    <w:p w14:paraId="0638B412" w14:textId="77777777" w:rsidR="0074715F" w:rsidRPr="00433ECF" w:rsidRDefault="0074715F" w:rsidP="0074715F">
      <w:pPr>
        <w:jc w:val="both"/>
        <w:rPr>
          <w:rFonts w:ascii="Arial" w:hAnsi="Arial" w:cs="Arial"/>
          <w:sz w:val="22"/>
          <w:szCs w:val="22"/>
        </w:rPr>
      </w:pPr>
    </w:p>
    <w:p w14:paraId="4860BA6E" w14:textId="77777777" w:rsidR="0074715F" w:rsidRPr="00433ECF" w:rsidRDefault="0074715F" w:rsidP="0074715F">
      <w:pPr>
        <w:jc w:val="both"/>
        <w:rPr>
          <w:rFonts w:ascii="Arial" w:hAnsi="Arial" w:cs="Arial"/>
          <w:sz w:val="22"/>
          <w:szCs w:val="22"/>
        </w:rPr>
      </w:pPr>
      <w:r w:rsidRPr="00433ECF">
        <w:rPr>
          <w:rFonts w:ascii="Arial" w:hAnsi="Arial" w:cs="Arial"/>
          <w:sz w:val="22"/>
          <w:szCs w:val="22"/>
        </w:rPr>
        <w:lastRenderedPageBreak/>
        <w:t>“…</w:t>
      </w:r>
      <w:proofErr w:type="gramStart"/>
      <w:r w:rsidRPr="00433ECF">
        <w:rPr>
          <w:rFonts w:ascii="Arial" w:hAnsi="Arial" w:cs="Arial"/>
          <w:sz w:val="22"/>
          <w:szCs w:val="22"/>
        </w:rPr>
        <w:t>de acuerdo a</w:t>
      </w:r>
      <w:proofErr w:type="gramEnd"/>
      <w:r w:rsidRPr="00433ECF">
        <w:rPr>
          <w:rFonts w:ascii="Arial" w:hAnsi="Arial" w:cs="Arial"/>
          <w:sz w:val="22"/>
          <w:szCs w:val="22"/>
        </w:rPr>
        <w:t xml:space="preserve"> la naturaleza de la información, está se encuentra prevista en las hipótesis de reserva que establece la ley…”</w:t>
      </w:r>
    </w:p>
    <w:p w14:paraId="41DCE806" w14:textId="77777777" w:rsidR="0074715F" w:rsidRPr="00433ECF" w:rsidRDefault="0074715F" w:rsidP="0074715F">
      <w:pPr>
        <w:jc w:val="both"/>
        <w:rPr>
          <w:rFonts w:ascii="Arial" w:hAnsi="Arial" w:cs="Arial"/>
          <w:sz w:val="22"/>
          <w:szCs w:val="22"/>
        </w:rPr>
      </w:pPr>
    </w:p>
    <w:p w14:paraId="52BE14C1" w14:textId="066C8A58" w:rsidR="0074715F" w:rsidRPr="00433ECF" w:rsidRDefault="0074715F" w:rsidP="0074715F">
      <w:pPr>
        <w:jc w:val="both"/>
        <w:rPr>
          <w:rFonts w:ascii="Arial" w:hAnsi="Arial" w:cs="Arial"/>
          <w:sz w:val="22"/>
          <w:szCs w:val="22"/>
        </w:rPr>
      </w:pPr>
      <w:r w:rsidRPr="00433ECF">
        <w:rPr>
          <w:rFonts w:ascii="Arial" w:hAnsi="Arial" w:cs="Arial"/>
          <w:sz w:val="22"/>
          <w:szCs w:val="22"/>
        </w:rPr>
        <w:t>Lo anterior de conformidad con el artículo 1</w:t>
      </w:r>
      <w:r w:rsidR="00830B82" w:rsidRPr="00433ECF">
        <w:rPr>
          <w:rFonts w:ascii="Arial" w:hAnsi="Arial" w:cs="Arial"/>
          <w:sz w:val="22"/>
          <w:szCs w:val="22"/>
        </w:rPr>
        <w:t>7</w:t>
      </w:r>
      <w:r w:rsidRPr="00433ECF">
        <w:rPr>
          <w:rFonts w:ascii="Arial" w:hAnsi="Arial" w:cs="Arial"/>
          <w:sz w:val="22"/>
          <w:szCs w:val="22"/>
        </w:rPr>
        <w:t xml:space="preserve"> de la Ley de Información Pública del Estado de Jalisco y sus Municipios, que establece: </w:t>
      </w:r>
    </w:p>
    <w:p w14:paraId="0D04175B" w14:textId="77777777" w:rsidR="00830B82" w:rsidRPr="00433ECF" w:rsidRDefault="00830B82" w:rsidP="0074715F">
      <w:pPr>
        <w:jc w:val="both"/>
        <w:rPr>
          <w:rFonts w:ascii="Arial" w:hAnsi="Arial" w:cs="Arial"/>
          <w:sz w:val="22"/>
          <w:szCs w:val="22"/>
        </w:rPr>
      </w:pPr>
    </w:p>
    <w:p w14:paraId="711BA1C4"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b/>
          <w:bCs/>
          <w:i/>
          <w:iCs/>
          <w:sz w:val="22"/>
          <w:szCs w:val="22"/>
          <w:highlight w:val="white"/>
        </w:rPr>
        <w:t>Artículo 17.</w:t>
      </w:r>
      <w:r w:rsidRPr="00433ECF">
        <w:rPr>
          <w:rFonts w:ascii="Arial" w:eastAsia="Arial" w:hAnsi="Arial" w:cs="Arial"/>
          <w:i/>
          <w:iCs/>
          <w:sz w:val="22"/>
          <w:szCs w:val="22"/>
          <w:highlight w:val="white"/>
        </w:rPr>
        <w:t xml:space="preserve"> Información reservada- Catálogo</w:t>
      </w:r>
    </w:p>
    <w:p w14:paraId="4C19D942"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1. Es información reservada:</w:t>
      </w:r>
    </w:p>
    <w:p w14:paraId="16B098F6" w14:textId="77777777" w:rsidR="00830B82" w:rsidRPr="00433ECF" w:rsidRDefault="00830B82" w:rsidP="00830B82">
      <w:pPr>
        <w:ind w:left="284"/>
        <w:jc w:val="both"/>
        <w:rPr>
          <w:rFonts w:ascii="Arial" w:eastAsia="Arial" w:hAnsi="Arial" w:cs="Arial"/>
          <w:i/>
          <w:iCs/>
          <w:sz w:val="22"/>
          <w:szCs w:val="22"/>
          <w:highlight w:val="white"/>
          <w:u w:val="single"/>
        </w:rPr>
      </w:pPr>
      <w:r w:rsidRPr="00433ECF">
        <w:rPr>
          <w:rFonts w:ascii="Arial" w:eastAsia="Arial" w:hAnsi="Arial" w:cs="Arial"/>
          <w:i/>
          <w:iCs/>
          <w:sz w:val="22"/>
          <w:szCs w:val="22"/>
          <w:highlight w:val="white"/>
          <w:u w:val="single"/>
        </w:rPr>
        <w:t>I. Aquella información pública, cuya difusión:</w:t>
      </w:r>
    </w:p>
    <w:p w14:paraId="0FE8E2FF"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74590B01"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17081250"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2BB33EBC"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167A8A91"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76228F19"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26D8BBA7" w14:textId="77777777" w:rsidR="00830B82" w:rsidRPr="00433ECF" w:rsidRDefault="00830B82" w:rsidP="00830B82">
      <w:pPr>
        <w:ind w:left="284"/>
        <w:jc w:val="both"/>
        <w:rPr>
          <w:rFonts w:ascii="Arial" w:eastAsia="Arial" w:hAnsi="Arial" w:cs="Arial"/>
          <w:i/>
          <w:iCs/>
          <w:sz w:val="22"/>
          <w:szCs w:val="22"/>
          <w:highlight w:val="white"/>
          <w:u w:val="single"/>
        </w:rPr>
      </w:pPr>
      <w:r w:rsidRPr="00433ECF">
        <w:rPr>
          <w:rFonts w:ascii="Arial" w:eastAsia="Arial" w:hAnsi="Arial" w:cs="Arial"/>
          <w:i/>
          <w:iCs/>
          <w:sz w:val="22"/>
          <w:szCs w:val="22"/>
          <w:highlight w:val="white"/>
          <w:u w:val="single"/>
        </w:rPr>
        <w:t>g) Cause perjuicio grave a las estrategias procesales en procesos judiciales o procedimientos administrativos cuyas resoluciones no hayan causado estado;</w:t>
      </w:r>
    </w:p>
    <w:p w14:paraId="63A3BC06"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1B712187" w14:textId="77777777" w:rsidR="00830B82" w:rsidRPr="00433ECF" w:rsidRDefault="00830B82" w:rsidP="00830B82">
      <w:pPr>
        <w:ind w:left="284"/>
        <w:jc w:val="both"/>
        <w:rPr>
          <w:rFonts w:ascii="Arial" w:eastAsia="Arial" w:hAnsi="Arial" w:cs="Arial"/>
          <w:i/>
          <w:iCs/>
          <w:sz w:val="22"/>
          <w:szCs w:val="22"/>
          <w:highlight w:val="white"/>
        </w:rPr>
      </w:pPr>
    </w:p>
    <w:p w14:paraId="5E1FE85F" w14:textId="77777777" w:rsidR="00830B82" w:rsidRPr="00433ECF" w:rsidRDefault="00830B82" w:rsidP="00830B82">
      <w:pPr>
        <w:ind w:left="284"/>
        <w:jc w:val="both"/>
        <w:rPr>
          <w:rFonts w:ascii="Arial" w:eastAsia="Arial" w:hAnsi="Arial" w:cs="Arial"/>
          <w:i/>
          <w:iCs/>
          <w:sz w:val="22"/>
          <w:szCs w:val="22"/>
          <w:highlight w:val="white"/>
          <w:u w:val="single"/>
        </w:rPr>
      </w:pPr>
      <w:r w:rsidRPr="00433ECF">
        <w:rPr>
          <w:rFonts w:ascii="Arial" w:eastAsia="Arial" w:hAnsi="Arial" w:cs="Arial"/>
          <w:i/>
          <w:iCs/>
          <w:sz w:val="22"/>
          <w:szCs w:val="22"/>
          <w:highlight w:val="white"/>
          <w:u w:val="single"/>
        </w:rPr>
        <w:t>III. Los expedientes judiciales en tanto no causen estado;</w:t>
      </w:r>
    </w:p>
    <w:p w14:paraId="0922646C"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077349E5"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6CE694AE"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64E2C3C8"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6A7DB123"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w:t>
      </w:r>
    </w:p>
    <w:p w14:paraId="19709570" w14:textId="77777777" w:rsidR="00830B82" w:rsidRPr="00433ECF" w:rsidRDefault="00830B82" w:rsidP="00830B82">
      <w:pPr>
        <w:ind w:left="284"/>
        <w:jc w:val="right"/>
        <w:rPr>
          <w:rFonts w:ascii="Arial" w:eastAsia="Arial" w:hAnsi="Arial" w:cs="Arial"/>
          <w:i/>
          <w:iCs/>
          <w:sz w:val="22"/>
          <w:szCs w:val="22"/>
          <w:highlight w:val="white"/>
        </w:rPr>
      </w:pPr>
    </w:p>
    <w:p w14:paraId="0F21B7D7" w14:textId="77777777" w:rsidR="00830B82" w:rsidRPr="00433ECF" w:rsidRDefault="00830B82" w:rsidP="00830B82">
      <w:pPr>
        <w:ind w:right="-519"/>
        <w:jc w:val="both"/>
        <w:rPr>
          <w:rFonts w:ascii="Arial" w:eastAsia="Arial" w:hAnsi="Arial" w:cs="Arial"/>
          <w:sz w:val="22"/>
          <w:szCs w:val="22"/>
          <w:highlight w:val="white"/>
        </w:rPr>
      </w:pPr>
      <w:r w:rsidRPr="00433ECF">
        <w:rPr>
          <w:rFonts w:ascii="Arial" w:eastAsia="Arial" w:hAnsi="Arial" w:cs="Arial"/>
          <w:sz w:val="22"/>
          <w:szCs w:val="22"/>
          <w:highlight w:val="white"/>
        </w:rPr>
        <w:t>Aunado a lo establecido en los artículos vigésimo sexto y trigésimo noveno de los Lineamientos Generales en Materia de clasificación de Información Pública, que deberán observar los sujetos Obligados previstos en la Ley de Transparencia y acceso a la información Pública del Estado de Jalisco y sus Municipios, como a continuación se transcribe:</w:t>
      </w:r>
    </w:p>
    <w:p w14:paraId="1B9677E4" w14:textId="77777777" w:rsidR="00830B82" w:rsidRPr="00433ECF" w:rsidRDefault="00830B82" w:rsidP="00830B82">
      <w:pPr>
        <w:ind w:right="-519"/>
        <w:jc w:val="both"/>
        <w:rPr>
          <w:rFonts w:ascii="Arial" w:eastAsia="Arial" w:hAnsi="Arial" w:cs="Arial"/>
          <w:sz w:val="22"/>
          <w:szCs w:val="22"/>
          <w:highlight w:val="white"/>
        </w:rPr>
      </w:pPr>
    </w:p>
    <w:p w14:paraId="768235EC" w14:textId="77777777" w:rsidR="00830B82" w:rsidRPr="00433ECF" w:rsidRDefault="00830B82" w:rsidP="00830B82">
      <w:pPr>
        <w:ind w:left="284"/>
        <w:jc w:val="both"/>
        <w:rPr>
          <w:rFonts w:ascii="Arial" w:eastAsia="Arial" w:hAnsi="Arial" w:cs="Arial"/>
          <w:i/>
          <w:sz w:val="22"/>
          <w:szCs w:val="22"/>
          <w:highlight w:val="white"/>
        </w:rPr>
      </w:pPr>
      <w:r w:rsidRPr="00433ECF">
        <w:rPr>
          <w:rFonts w:ascii="Arial" w:eastAsia="Arial" w:hAnsi="Arial" w:cs="Arial"/>
          <w:b/>
          <w:bCs/>
          <w:i/>
          <w:sz w:val="22"/>
          <w:szCs w:val="22"/>
          <w:highlight w:val="white"/>
        </w:rPr>
        <w:t>VIGÉSIMO SEXTO.-</w:t>
      </w:r>
      <w:r w:rsidRPr="00433ECF">
        <w:rPr>
          <w:rFonts w:ascii="Arial" w:eastAsia="Arial" w:hAnsi="Arial" w:cs="Arial"/>
          <w:i/>
          <w:sz w:val="22"/>
          <w:szCs w:val="22"/>
          <w:highlight w:val="white"/>
        </w:rPr>
        <w:t xml:space="preserve"> Para el caso de lo previsto en estos Lineamientos, se considerará información reservada, la prevista por el artículo 17 de la Ley y demás disposiciones legales de las que se desprenda la existencia de alguna reserva de información, así como toda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14:paraId="7C5BA59A" w14:textId="77777777" w:rsidR="00830B82" w:rsidRPr="00433ECF" w:rsidRDefault="00830B82" w:rsidP="00830B82">
      <w:pPr>
        <w:ind w:left="284"/>
        <w:jc w:val="both"/>
        <w:rPr>
          <w:rFonts w:ascii="Arial" w:eastAsia="Arial" w:hAnsi="Arial" w:cs="Arial"/>
          <w:i/>
          <w:sz w:val="22"/>
          <w:szCs w:val="22"/>
          <w:highlight w:val="white"/>
        </w:rPr>
      </w:pPr>
    </w:p>
    <w:p w14:paraId="62ED0359" w14:textId="77777777" w:rsidR="00830B82" w:rsidRPr="00433ECF" w:rsidRDefault="00830B82" w:rsidP="00830B82">
      <w:pPr>
        <w:ind w:left="284"/>
        <w:jc w:val="both"/>
        <w:rPr>
          <w:rFonts w:ascii="Arial" w:eastAsia="Arial" w:hAnsi="Arial" w:cs="Arial"/>
          <w:i/>
          <w:sz w:val="22"/>
          <w:szCs w:val="22"/>
          <w:highlight w:val="white"/>
        </w:rPr>
      </w:pPr>
      <w:r w:rsidRPr="00433ECF">
        <w:rPr>
          <w:rFonts w:ascii="Arial" w:eastAsia="Arial" w:hAnsi="Arial" w:cs="Arial"/>
          <w:b/>
          <w:bCs/>
          <w:i/>
          <w:sz w:val="22"/>
          <w:szCs w:val="22"/>
          <w:highlight w:val="white"/>
        </w:rPr>
        <w:t>TRIGÉSIMO NOVENO. -</w:t>
      </w:r>
      <w:r w:rsidRPr="00433ECF">
        <w:rPr>
          <w:rFonts w:ascii="Arial" w:eastAsia="Arial" w:hAnsi="Arial" w:cs="Arial"/>
          <w:i/>
          <w:sz w:val="22"/>
          <w:szCs w:val="22"/>
          <w:highlight w:val="white"/>
        </w:rPr>
        <w:t xml:space="preserve"> El expediente íntegro de cualquier proceso o procedimiento judicial o de jurisdicción voluntaria, dentro o fuera de juicio, en tanto no causen estado o se ordene su archivo, en cuyo caso no debe publicarse la información confidencial de las partes; se clasificará como información reservada en los términos de la fracción 111del artículo 17 de la Ley y el Código de Procedimientos Civiles del Estado de Jalisco. </w:t>
      </w:r>
    </w:p>
    <w:p w14:paraId="39A657A8" w14:textId="77777777" w:rsidR="00830B82" w:rsidRPr="00433ECF" w:rsidRDefault="00830B82" w:rsidP="00830B82">
      <w:pPr>
        <w:ind w:left="284"/>
        <w:jc w:val="both"/>
        <w:rPr>
          <w:rFonts w:ascii="Arial" w:eastAsia="Arial" w:hAnsi="Arial" w:cs="Arial"/>
          <w:i/>
          <w:sz w:val="22"/>
          <w:szCs w:val="22"/>
          <w:highlight w:val="white"/>
        </w:rPr>
      </w:pPr>
      <w:r w:rsidRPr="00433ECF">
        <w:rPr>
          <w:rFonts w:ascii="Arial" w:eastAsia="Arial" w:hAnsi="Arial" w:cs="Arial"/>
          <w:i/>
          <w:sz w:val="22"/>
          <w:szCs w:val="22"/>
          <w:highlight w:val="white"/>
        </w:rPr>
        <w:t>Por lo antes mencionado, se entiende que una sentencia no ha causado estado, cuando ésta pueda ser modificada por algún medio legal.</w:t>
      </w:r>
    </w:p>
    <w:p w14:paraId="3D7D9834" w14:textId="77777777" w:rsidR="00830B82" w:rsidRPr="00433ECF" w:rsidRDefault="00830B82" w:rsidP="00830B82">
      <w:pPr>
        <w:ind w:right="-519"/>
        <w:jc w:val="both"/>
        <w:rPr>
          <w:rFonts w:ascii="Arial" w:eastAsia="Arial" w:hAnsi="Arial" w:cs="Arial"/>
          <w:sz w:val="22"/>
          <w:szCs w:val="22"/>
          <w:highlight w:val="white"/>
        </w:rPr>
      </w:pPr>
    </w:p>
    <w:p w14:paraId="1644EA5F" w14:textId="77777777" w:rsidR="00830B82" w:rsidRPr="00433ECF" w:rsidRDefault="00830B82" w:rsidP="00830B82">
      <w:pPr>
        <w:ind w:right="-519"/>
        <w:jc w:val="both"/>
        <w:rPr>
          <w:rFonts w:ascii="Arial" w:eastAsia="Arial" w:hAnsi="Arial" w:cs="Arial"/>
          <w:sz w:val="22"/>
          <w:szCs w:val="22"/>
          <w:highlight w:val="white"/>
        </w:rPr>
      </w:pPr>
      <w:r w:rsidRPr="00433ECF">
        <w:rPr>
          <w:rFonts w:ascii="Arial" w:eastAsia="Arial" w:hAnsi="Arial" w:cs="Arial"/>
          <w:sz w:val="22"/>
          <w:szCs w:val="22"/>
          <w:highlight w:val="white"/>
        </w:rPr>
        <w:lastRenderedPageBreak/>
        <w:t>Por lo que, una vez referenciado lo anterior, y atentos con lo establecido en el artículo 18 de la Ley de Transparencia y Acceso a la Información Pública del Estado de Jalisco y sus Municipios, que a la letra dice:</w:t>
      </w:r>
    </w:p>
    <w:p w14:paraId="6CDFEC11" w14:textId="77777777" w:rsidR="00830B82" w:rsidRPr="00433ECF" w:rsidRDefault="00830B82" w:rsidP="00830B82">
      <w:pPr>
        <w:ind w:right="-519"/>
        <w:jc w:val="both"/>
        <w:rPr>
          <w:rFonts w:ascii="Arial" w:eastAsia="Arial" w:hAnsi="Arial" w:cs="Arial"/>
          <w:sz w:val="22"/>
          <w:szCs w:val="22"/>
          <w:highlight w:val="white"/>
        </w:rPr>
      </w:pPr>
    </w:p>
    <w:p w14:paraId="657032CC"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b/>
          <w:bCs/>
          <w:i/>
          <w:iCs/>
          <w:sz w:val="22"/>
          <w:szCs w:val="22"/>
          <w:highlight w:val="white"/>
        </w:rPr>
        <w:t>Artículo 18.</w:t>
      </w:r>
      <w:r w:rsidRPr="00433ECF">
        <w:rPr>
          <w:rFonts w:ascii="Arial" w:eastAsia="Arial" w:hAnsi="Arial" w:cs="Arial"/>
          <w:i/>
          <w:iCs/>
          <w:sz w:val="22"/>
          <w:szCs w:val="22"/>
          <w:highlight w:val="white"/>
        </w:rPr>
        <w:t xml:space="preserve"> Información reservada- Negación</w:t>
      </w:r>
    </w:p>
    <w:p w14:paraId="1C59A83C" w14:textId="77777777" w:rsidR="00830B82" w:rsidRPr="00433ECF" w:rsidRDefault="00830B82" w:rsidP="00830B82">
      <w:pPr>
        <w:ind w:left="284"/>
        <w:jc w:val="both"/>
        <w:rPr>
          <w:rFonts w:ascii="Arial" w:eastAsia="Arial" w:hAnsi="Arial" w:cs="Arial"/>
          <w:i/>
          <w:iCs/>
          <w:sz w:val="22"/>
          <w:szCs w:val="22"/>
          <w:highlight w:val="white"/>
        </w:rPr>
      </w:pPr>
    </w:p>
    <w:p w14:paraId="3697BD65" w14:textId="77777777" w:rsidR="00830B82" w:rsidRPr="00433ECF" w:rsidRDefault="00830B82" w:rsidP="00830B82">
      <w:pPr>
        <w:pStyle w:val="Prrafodelista"/>
        <w:numPr>
          <w:ilvl w:val="0"/>
          <w:numId w:val="9"/>
        </w:numPr>
        <w:rPr>
          <w:rFonts w:ascii="Arial" w:eastAsia="Arial" w:hAnsi="Arial" w:cs="Arial"/>
          <w:i/>
          <w:iCs/>
          <w:sz w:val="22"/>
          <w:szCs w:val="22"/>
          <w:highlight w:val="white"/>
          <w:u w:val="single"/>
        </w:rPr>
      </w:pPr>
      <w:r w:rsidRPr="00433ECF">
        <w:rPr>
          <w:rFonts w:ascii="Arial" w:eastAsia="Arial" w:hAnsi="Arial" w:cs="Arial"/>
          <w:i/>
          <w:iCs/>
          <w:sz w:val="22"/>
          <w:szCs w:val="22"/>
          <w:highlight w:val="white"/>
          <w:u w:val="single"/>
        </w:rPr>
        <w:t>Para negar el acceso o entrega de información reservada, los sujetos obligados deben justificar lo siguiente:</w:t>
      </w:r>
    </w:p>
    <w:p w14:paraId="76499CFC" w14:textId="77777777" w:rsidR="00830B82" w:rsidRPr="00433ECF" w:rsidRDefault="00830B82" w:rsidP="00830B82">
      <w:pPr>
        <w:pStyle w:val="Prrafodelista"/>
        <w:ind w:left="644"/>
        <w:rPr>
          <w:rFonts w:ascii="Arial" w:eastAsia="Arial" w:hAnsi="Arial" w:cs="Arial"/>
          <w:i/>
          <w:iCs/>
          <w:sz w:val="22"/>
          <w:szCs w:val="22"/>
          <w:highlight w:val="white"/>
        </w:rPr>
      </w:pPr>
    </w:p>
    <w:p w14:paraId="011872D3"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I. La información solicitada se encuentra prevista en alguna de las hipótesis de reserva que establece la ley;</w:t>
      </w:r>
    </w:p>
    <w:p w14:paraId="21F9C51F"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II. La divulgación de dicha información atente efectivamente el interés público protegido por la ley, representando un riesgo real, demostrable e identificable de perjuicio significativo al interés público o a la seguridad estatal;</w:t>
      </w:r>
    </w:p>
    <w:p w14:paraId="060C0025"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III. El daño o el riesgo de perjuicio que se produciría con la revelación de la información supera el interés público general de conocer la información de referencia; y</w:t>
      </w:r>
    </w:p>
    <w:p w14:paraId="156E4E2B" w14:textId="77777777" w:rsidR="00830B82" w:rsidRPr="00433ECF" w:rsidRDefault="00830B82" w:rsidP="00830B82">
      <w:pPr>
        <w:ind w:left="284"/>
        <w:jc w:val="both"/>
        <w:rPr>
          <w:rFonts w:ascii="Arial" w:eastAsia="Arial" w:hAnsi="Arial" w:cs="Arial"/>
          <w:i/>
          <w:iCs/>
          <w:sz w:val="22"/>
          <w:szCs w:val="22"/>
          <w:highlight w:val="white"/>
        </w:rPr>
      </w:pPr>
      <w:r w:rsidRPr="00433ECF">
        <w:rPr>
          <w:rFonts w:ascii="Arial" w:eastAsia="Arial" w:hAnsi="Arial" w:cs="Arial"/>
          <w:i/>
          <w:iCs/>
          <w:sz w:val="22"/>
          <w:szCs w:val="22"/>
          <w:highlight w:val="white"/>
        </w:rPr>
        <w:t>IV. La limitación se adecua al principio de proporcionalidad y representa el medio menos restrictivo disponible para evitar el perjuicio.</w:t>
      </w:r>
    </w:p>
    <w:p w14:paraId="43B984BA" w14:textId="77777777" w:rsidR="00830B82" w:rsidRPr="00433ECF" w:rsidRDefault="00830B82" w:rsidP="00830B82">
      <w:pPr>
        <w:ind w:left="284"/>
        <w:jc w:val="both"/>
        <w:rPr>
          <w:rFonts w:ascii="Arial" w:eastAsia="Arial" w:hAnsi="Arial" w:cs="Arial"/>
          <w:i/>
          <w:iCs/>
          <w:sz w:val="22"/>
          <w:szCs w:val="22"/>
          <w:highlight w:val="white"/>
        </w:rPr>
      </w:pPr>
    </w:p>
    <w:p w14:paraId="3F259F23" w14:textId="77777777" w:rsidR="00830B82" w:rsidRPr="00433ECF" w:rsidRDefault="00830B82" w:rsidP="00830B82">
      <w:pPr>
        <w:pStyle w:val="Prrafodelista"/>
        <w:numPr>
          <w:ilvl w:val="0"/>
          <w:numId w:val="9"/>
        </w:numPr>
        <w:rPr>
          <w:rFonts w:ascii="Arial" w:eastAsia="Arial" w:hAnsi="Arial" w:cs="Arial"/>
          <w:i/>
          <w:iCs/>
          <w:sz w:val="22"/>
          <w:szCs w:val="22"/>
          <w:highlight w:val="white"/>
        </w:rPr>
      </w:pPr>
      <w:r w:rsidRPr="00433ECF">
        <w:rPr>
          <w:rFonts w:ascii="Arial" w:eastAsia="Arial" w:hAnsi="Arial" w:cs="Arial"/>
          <w:i/>
          <w:iCs/>
          <w:sz w:val="22"/>
          <w:szCs w:val="22"/>
          <w:highlight w:val="white"/>
        </w:rPr>
        <w:t>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14:paraId="282C3D39" w14:textId="77777777" w:rsidR="00830B82" w:rsidRPr="00433ECF" w:rsidRDefault="00830B82" w:rsidP="00830B82">
      <w:pPr>
        <w:ind w:right="-519"/>
        <w:jc w:val="both"/>
        <w:rPr>
          <w:rFonts w:ascii="Arial" w:eastAsia="Arial" w:hAnsi="Arial" w:cs="Arial"/>
          <w:sz w:val="22"/>
          <w:szCs w:val="22"/>
          <w:highlight w:val="white"/>
        </w:rPr>
      </w:pPr>
    </w:p>
    <w:p w14:paraId="5F41E328" w14:textId="77777777" w:rsidR="00433ECF" w:rsidRDefault="00433ECF" w:rsidP="00830B82">
      <w:pPr>
        <w:ind w:right="-519"/>
        <w:jc w:val="both"/>
        <w:rPr>
          <w:rFonts w:ascii="Arial" w:eastAsia="Arial" w:hAnsi="Arial" w:cs="Arial"/>
          <w:sz w:val="22"/>
          <w:szCs w:val="22"/>
          <w:highlight w:val="white"/>
        </w:rPr>
      </w:pPr>
    </w:p>
    <w:p w14:paraId="44356B87" w14:textId="36B1D4EA" w:rsidR="00830B82" w:rsidRPr="00433ECF" w:rsidRDefault="00830B82" w:rsidP="00830B82">
      <w:pPr>
        <w:ind w:right="-519"/>
        <w:jc w:val="both"/>
        <w:rPr>
          <w:rFonts w:ascii="Arial" w:eastAsia="Arial" w:hAnsi="Arial" w:cs="Arial"/>
          <w:sz w:val="22"/>
          <w:szCs w:val="22"/>
          <w:highlight w:val="white"/>
        </w:rPr>
      </w:pPr>
      <w:r w:rsidRPr="00433ECF">
        <w:rPr>
          <w:rFonts w:ascii="Arial" w:eastAsia="Arial" w:hAnsi="Arial" w:cs="Arial"/>
          <w:sz w:val="22"/>
          <w:szCs w:val="22"/>
          <w:highlight w:val="white"/>
        </w:rPr>
        <w:t>Es que, se colige que la información solicitada encuadra en los supuestos mencionados en líneas precedentes, por lo que revelar la información contenida en el expediente del juicio de amparo solicitado, sería perjudicial para las partes, por lo que se procede a justificar lo establecido en el artículo 18 de la Ley de la materia de la siguiente manera:</w:t>
      </w:r>
    </w:p>
    <w:p w14:paraId="506B003F" w14:textId="77777777" w:rsidR="00830B82" w:rsidRPr="00433ECF" w:rsidRDefault="00830B82" w:rsidP="00830B82">
      <w:pPr>
        <w:ind w:left="284" w:right="-377"/>
        <w:jc w:val="both"/>
        <w:rPr>
          <w:rFonts w:ascii="Arial" w:hAnsi="Arial" w:cs="Arial"/>
          <w:i/>
          <w:iCs/>
          <w:sz w:val="22"/>
          <w:szCs w:val="22"/>
        </w:rPr>
      </w:pPr>
    </w:p>
    <w:p w14:paraId="33F54170" w14:textId="77777777" w:rsidR="00830B82" w:rsidRPr="00433ECF" w:rsidRDefault="00830B82" w:rsidP="00830B82">
      <w:pPr>
        <w:ind w:left="284" w:right="-377"/>
        <w:jc w:val="both"/>
        <w:rPr>
          <w:rFonts w:ascii="Arial" w:hAnsi="Arial" w:cs="Arial"/>
          <w:i/>
          <w:iCs/>
          <w:sz w:val="22"/>
          <w:szCs w:val="22"/>
        </w:rPr>
      </w:pPr>
    </w:p>
    <w:tbl>
      <w:tblPr>
        <w:tblpPr w:leftFromText="141" w:rightFromText="141" w:vertAnchor="text" w:horzAnchor="page" w:tblpX="2134"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791"/>
      </w:tblGrid>
      <w:tr w:rsidR="00830B82" w:rsidRPr="00433ECF" w14:paraId="78136141" w14:textId="77777777" w:rsidTr="00830B82">
        <w:tc>
          <w:tcPr>
            <w:tcW w:w="9056" w:type="dxa"/>
            <w:gridSpan w:val="2"/>
            <w:tcBorders>
              <w:top w:val="single" w:sz="4" w:space="0" w:color="auto"/>
              <w:left w:val="single" w:sz="4" w:space="0" w:color="auto"/>
              <w:bottom w:val="single" w:sz="4" w:space="0" w:color="auto"/>
              <w:right w:val="single" w:sz="4" w:space="0" w:color="auto"/>
            </w:tcBorders>
          </w:tcPr>
          <w:p w14:paraId="62DC2347" w14:textId="77777777" w:rsidR="00830B82" w:rsidRPr="00433ECF" w:rsidRDefault="00830B82">
            <w:pPr>
              <w:jc w:val="center"/>
              <w:rPr>
                <w:rFonts w:ascii="Arial" w:hAnsi="Arial" w:cs="Arial"/>
                <w:b/>
                <w:bCs/>
                <w:sz w:val="20"/>
                <w:szCs w:val="20"/>
              </w:rPr>
            </w:pPr>
          </w:p>
          <w:p w14:paraId="32424079" w14:textId="77777777" w:rsidR="00830B82" w:rsidRPr="00433ECF" w:rsidRDefault="00830B82">
            <w:pPr>
              <w:jc w:val="center"/>
              <w:rPr>
                <w:rFonts w:ascii="Arial" w:hAnsi="Arial" w:cs="Arial"/>
                <w:b/>
                <w:bCs/>
                <w:sz w:val="20"/>
                <w:szCs w:val="20"/>
              </w:rPr>
            </w:pPr>
            <w:r w:rsidRPr="00433ECF">
              <w:rPr>
                <w:rFonts w:ascii="Arial" w:hAnsi="Arial" w:cs="Arial"/>
                <w:b/>
                <w:bCs/>
                <w:sz w:val="20"/>
                <w:szCs w:val="20"/>
              </w:rPr>
              <w:t>PROCEDIMIENTO</w:t>
            </w:r>
          </w:p>
          <w:p w14:paraId="32B02817" w14:textId="77777777" w:rsidR="00830B82" w:rsidRPr="00433ECF" w:rsidRDefault="00830B82">
            <w:pPr>
              <w:jc w:val="center"/>
              <w:rPr>
                <w:rFonts w:ascii="Arial" w:hAnsi="Arial" w:cs="Arial"/>
                <w:b/>
                <w:bCs/>
                <w:sz w:val="20"/>
                <w:szCs w:val="20"/>
              </w:rPr>
            </w:pPr>
          </w:p>
          <w:p w14:paraId="2AFED4CC" w14:textId="77777777" w:rsidR="00830B82" w:rsidRPr="00433ECF" w:rsidRDefault="00830B82">
            <w:pPr>
              <w:jc w:val="center"/>
              <w:rPr>
                <w:rFonts w:ascii="Arial" w:hAnsi="Arial" w:cs="Arial"/>
                <w:b/>
                <w:bCs/>
                <w:sz w:val="20"/>
                <w:szCs w:val="20"/>
              </w:rPr>
            </w:pPr>
            <w:r w:rsidRPr="00433ECF">
              <w:rPr>
                <w:rFonts w:ascii="Arial" w:hAnsi="Arial" w:cs="Arial"/>
                <w:b/>
                <w:bCs/>
                <w:sz w:val="20"/>
                <w:szCs w:val="20"/>
              </w:rPr>
              <w:t>Artículo 18. Información reservada- Negación</w:t>
            </w:r>
          </w:p>
          <w:p w14:paraId="0D3652CE" w14:textId="77777777" w:rsidR="00830B82" w:rsidRPr="00433ECF" w:rsidRDefault="00830B82">
            <w:pPr>
              <w:jc w:val="center"/>
              <w:rPr>
                <w:rFonts w:ascii="Arial" w:hAnsi="Arial" w:cs="Arial"/>
                <w:b/>
                <w:bCs/>
                <w:sz w:val="20"/>
                <w:szCs w:val="20"/>
              </w:rPr>
            </w:pPr>
          </w:p>
        </w:tc>
      </w:tr>
      <w:tr w:rsidR="00830B82" w:rsidRPr="00433ECF" w14:paraId="77D06AF7" w14:textId="77777777" w:rsidTr="00830B82">
        <w:tc>
          <w:tcPr>
            <w:tcW w:w="9056" w:type="dxa"/>
            <w:gridSpan w:val="2"/>
            <w:tcBorders>
              <w:top w:val="single" w:sz="4" w:space="0" w:color="auto"/>
              <w:left w:val="single" w:sz="4" w:space="0" w:color="auto"/>
              <w:bottom w:val="single" w:sz="4" w:space="0" w:color="auto"/>
              <w:right w:val="single" w:sz="4" w:space="0" w:color="auto"/>
            </w:tcBorders>
          </w:tcPr>
          <w:p w14:paraId="1A86F234" w14:textId="77777777" w:rsidR="00830B82" w:rsidRPr="00433ECF" w:rsidRDefault="00830B82">
            <w:pPr>
              <w:pStyle w:val="Estilo"/>
              <w:spacing w:line="276" w:lineRule="auto"/>
              <w:rPr>
                <w:i/>
                <w:sz w:val="20"/>
                <w:szCs w:val="20"/>
                <w:lang w:val="es-ES_tradnl"/>
              </w:rPr>
            </w:pPr>
          </w:p>
          <w:p w14:paraId="46066478" w14:textId="77777777" w:rsidR="00830B82" w:rsidRPr="00433ECF" w:rsidRDefault="00830B82">
            <w:pPr>
              <w:pStyle w:val="Estilo"/>
              <w:spacing w:line="276" w:lineRule="auto"/>
              <w:rPr>
                <w:i/>
                <w:sz w:val="20"/>
                <w:szCs w:val="20"/>
                <w:lang w:val="es-ES_tradnl"/>
              </w:rPr>
            </w:pPr>
            <w:r w:rsidRPr="00433ECF">
              <w:rPr>
                <w:i/>
                <w:sz w:val="20"/>
                <w:szCs w:val="20"/>
                <w:lang w:val="es-ES_tradnl"/>
              </w:rPr>
              <w:t>Referente al numeral 1 que a la letra dice:</w:t>
            </w:r>
          </w:p>
          <w:p w14:paraId="7E49368B" w14:textId="77777777" w:rsidR="00830B82" w:rsidRPr="00433ECF" w:rsidRDefault="00830B82">
            <w:pPr>
              <w:pStyle w:val="Estilo"/>
              <w:spacing w:line="276" w:lineRule="auto"/>
              <w:rPr>
                <w:i/>
                <w:sz w:val="20"/>
                <w:szCs w:val="20"/>
                <w:lang w:val="es-ES_tradnl"/>
              </w:rPr>
            </w:pPr>
            <w:r w:rsidRPr="00433ECF">
              <w:rPr>
                <w:i/>
                <w:sz w:val="20"/>
                <w:szCs w:val="20"/>
                <w:lang w:val="es-ES_tradnl"/>
              </w:rPr>
              <w:t>“1. Para negar el acceso o entrega de información reservada, los sujetos obligados deben justificar lo siguiente:”</w:t>
            </w:r>
          </w:p>
          <w:p w14:paraId="59BE625D" w14:textId="77777777" w:rsidR="00830B82" w:rsidRPr="00433ECF" w:rsidRDefault="00830B82">
            <w:pPr>
              <w:pStyle w:val="Estilo"/>
              <w:spacing w:line="276" w:lineRule="auto"/>
              <w:rPr>
                <w:i/>
                <w:sz w:val="20"/>
                <w:szCs w:val="20"/>
                <w:lang w:val="es-ES_tradnl"/>
              </w:rPr>
            </w:pPr>
          </w:p>
        </w:tc>
      </w:tr>
      <w:tr w:rsidR="00830B82" w:rsidRPr="00433ECF" w14:paraId="033589ED" w14:textId="77777777" w:rsidTr="00830B82">
        <w:tc>
          <w:tcPr>
            <w:tcW w:w="4265" w:type="dxa"/>
            <w:tcBorders>
              <w:top w:val="single" w:sz="4" w:space="0" w:color="auto"/>
              <w:left w:val="single" w:sz="4" w:space="0" w:color="auto"/>
              <w:bottom w:val="single" w:sz="4" w:space="0" w:color="auto"/>
              <w:right w:val="single" w:sz="4" w:space="0" w:color="auto"/>
            </w:tcBorders>
          </w:tcPr>
          <w:p w14:paraId="11A47620" w14:textId="77777777" w:rsidR="00830B82" w:rsidRPr="00433ECF" w:rsidRDefault="00830B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i/>
                <w:sz w:val="20"/>
                <w:szCs w:val="20"/>
                <w:lang w:val="es-MX" w:eastAsia="es-MX"/>
              </w:rPr>
            </w:pPr>
          </w:p>
          <w:p w14:paraId="6D546EC8" w14:textId="77777777" w:rsidR="00830B82" w:rsidRPr="00433ECF" w:rsidRDefault="00830B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i/>
                <w:sz w:val="20"/>
                <w:szCs w:val="20"/>
                <w:lang w:val="es-MX" w:eastAsia="en-US"/>
              </w:rPr>
            </w:pPr>
            <w:r w:rsidRPr="00433ECF">
              <w:rPr>
                <w:rFonts w:ascii="Arial" w:hAnsi="Arial" w:cs="Arial"/>
                <w:bCs/>
                <w:i/>
                <w:sz w:val="20"/>
                <w:szCs w:val="20"/>
                <w:lang w:val="es-MX" w:eastAsia="es-MX"/>
              </w:rPr>
              <w:t xml:space="preserve">Fracción I.- </w:t>
            </w:r>
            <w:r w:rsidRPr="00433ECF">
              <w:rPr>
                <w:rFonts w:ascii="Arial" w:hAnsi="Arial" w:cs="Arial"/>
                <w:i/>
                <w:sz w:val="20"/>
                <w:szCs w:val="20"/>
                <w:lang w:val="es-MX"/>
              </w:rPr>
              <w:t>I. La información solicitada se encuentra prevista en alguna de las hipótesis de reserva que establece la ley;</w:t>
            </w:r>
          </w:p>
        </w:tc>
        <w:tc>
          <w:tcPr>
            <w:tcW w:w="4791" w:type="dxa"/>
            <w:tcBorders>
              <w:top w:val="single" w:sz="4" w:space="0" w:color="auto"/>
              <w:left w:val="single" w:sz="4" w:space="0" w:color="auto"/>
              <w:bottom w:val="single" w:sz="4" w:space="0" w:color="auto"/>
              <w:right w:val="single" w:sz="4" w:space="0" w:color="auto"/>
            </w:tcBorders>
          </w:tcPr>
          <w:p w14:paraId="5B2AE198" w14:textId="77777777" w:rsidR="00830B82" w:rsidRPr="00433ECF" w:rsidRDefault="00830B82">
            <w:pPr>
              <w:pStyle w:val="Estilo"/>
              <w:spacing w:line="276" w:lineRule="auto"/>
              <w:rPr>
                <w:i/>
                <w:sz w:val="20"/>
                <w:szCs w:val="20"/>
                <w:lang w:val="es-ES_tradnl"/>
              </w:rPr>
            </w:pPr>
          </w:p>
          <w:p w14:paraId="171D76A3" w14:textId="77777777" w:rsidR="00830B82" w:rsidRPr="00433ECF" w:rsidRDefault="00830B82">
            <w:pPr>
              <w:pStyle w:val="Estilo"/>
              <w:spacing w:line="276" w:lineRule="auto"/>
              <w:rPr>
                <w:i/>
                <w:sz w:val="20"/>
                <w:szCs w:val="20"/>
                <w:lang w:val="es-ES_tradnl"/>
              </w:rPr>
            </w:pPr>
            <w:r w:rsidRPr="00433ECF">
              <w:rPr>
                <w:i/>
                <w:sz w:val="20"/>
                <w:szCs w:val="20"/>
                <w:lang w:val="es-ES_tradnl"/>
              </w:rPr>
              <w:t xml:space="preserve">Se cumple lo previsto en la fracción primera, toda vez que, se encuentra dentro de la hipótesis señalada en el </w:t>
            </w:r>
            <w:r w:rsidRPr="00433ECF">
              <w:rPr>
                <w:bCs/>
                <w:i/>
                <w:sz w:val="20"/>
                <w:szCs w:val="20"/>
                <w:lang w:val="es-ES_tradnl"/>
              </w:rPr>
              <w:t>catálogo de información reservada en el artículo 17.1 fracciones I, inciso g) y IIII,</w:t>
            </w:r>
            <w:r w:rsidRPr="00433ECF">
              <w:rPr>
                <w:i/>
                <w:sz w:val="20"/>
                <w:szCs w:val="20"/>
                <w:lang w:val="es-ES_tradnl"/>
              </w:rPr>
              <w:t xml:space="preserve"> que a la letra se cita:</w:t>
            </w:r>
          </w:p>
          <w:p w14:paraId="605D0CB3" w14:textId="77777777" w:rsidR="00830B82" w:rsidRPr="00433ECF" w:rsidRDefault="00830B82">
            <w:pPr>
              <w:pStyle w:val="Estilo"/>
              <w:spacing w:line="276" w:lineRule="auto"/>
              <w:rPr>
                <w:b/>
                <w:bCs/>
                <w:i/>
                <w:sz w:val="20"/>
                <w:szCs w:val="20"/>
                <w:lang w:val="es-ES_tradnl"/>
              </w:rPr>
            </w:pPr>
          </w:p>
          <w:p w14:paraId="6CBD25C9" w14:textId="77777777" w:rsidR="00830B82" w:rsidRPr="00433ECF" w:rsidRDefault="00830B82">
            <w:pPr>
              <w:pStyle w:val="Estilo"/>
              <w:spacing w:line="276" w:lineRule="auto"/>
              <w:rPr>
                <w:i/>
                <w:sz w:val="20"/>
                <w:szCs w:val="20"/>
                <w:lang w:val="es-ES_tradnl"/>
              </w:rPr>
            </w:pPr>
            <w:r w:rsidRPr="00433ECF">
              <w:rPr>
                <w:b/>
                <w:bCs/>
                <w:i/>
                <w:sz w:val="20"/>
                <w:szCs w:val="20"/>
                <w:lang w:val="es-ES_tradnl"/>
              </w:rPr>
              <w:lastRenderedPageBreak/>
              <w:t>Artículo 17</w:t>
            </w:r>
            <w:r w:rsidRPr="00433ECF">
              <w:rPr>
                <w:i/>
                <w:sz w:val="20"/>
                <w:szCs w:val="20"/>
                <w:lang w:val="es-ES_tradnl"/>
              </w:rPr>
              <w:t>. Información reservada- Catálogo</w:t>
            </w:r>
          </w:p>
          <w:p w14:paraId="2F5F8C67" w14:textId="77777777" w:rsidR="00830B82" w:rsidRPr="00433ECF" w:rsidRDefault="00830B82">
            <w:pPr>
              <w:pStyle w:val="Estilo"/>
              <w:spacing w:line="276" w:lineRule="auto"/>
              <w:rPr>
                <w:i/>
                <w:sz w:val="20"/>
                <w:szCs w:val="20"/>
                <w:lang w:val="es-ES_tradnl"/>
              </w:rPr>
            </w:pPr>
          </w:p>
          <w:p w14:paraId="7F9A12F9"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1. Es información reservada:</w:t>
            </w:r>
          </w:p>
          <w:p w14:paraId="54D6C634"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I. Aquella información pública, cuya difusión:</w:t>
            </w:r>
          </w:p>
          <w:p w14:paraId="4E7E9A86"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69FAD427"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56A9D553"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4C69C657"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10EAD4BF"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1BF04E66"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6CFC5C92" w14:textId="77777777" w:rsidR="00830B82" w:rsidRPr="00433ECF" w:rsidRDefault="00830B82">
            <w:pPr>
              <w:ind w:left="284"/>
              <w:jc w:val="both"/>
              <w:rPr>
                <w:rFonts w:ascii="Arial" w:eastAsia="Arial" w:hAnsi="Arial" w:cs="Arial"/>
                <w:i/>
                <w:sz w:val="20"/>
                <w:szCs w:val="20"/>
                <w:highlight w:val="white"/>
                <w:u w:val="single"/>
              </w:rPr>
            </w:pPr>
            <w:r w:rsidRPr="00433ECF">
              <w:rPr>
                <w:rFonts w:ascii="Arial" w:eastAsia="Arial" w:hAnsi="Arial" w:cs="Arial"/>
                <w:i/>
                <w:sz w:val="20"/>
                <w:szCs w:val="20"/>
                <w:highlight w:val="white"/>
                <w:u w:val="single"/>
              </w:rPr>
              <w:t>g) Cause perjuicio grave a las estrategias procesales en procesos judiciales o procedimientos administrativos cuyas resoluciones no hayan causado estado;</w:t>
            </w:r>
          </w:p>
          <w:p w14:paraId="28782BC0"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25332F02" w14:textId="77777777" w:rsidR="00830B82" w:rsidRPr="00433ECF" w:rsidRDefault="00830B82">
            <w:pPr>
              <w:ind w:left="284"/>
              <w:jc w:val="both"/>
              <w:rPr>
                <w:rFonts w:ascii="Arial" w:eastAsia="Arial" w:hAnsi="Arial" w:cs="Arial"/>
                <w:i/>
                <w:sz w:val="20"/>
                <w:szCs w:val="20"/>
                <w:highlight w:val="white"/>
              </w:rPr>
            </w:pPr>
          </w:p>
          <w:p w14:paraId="379F136E" w14:textId="77777777" w:rsidR="00830B82" w:rsidRPr="00433ECF" w:rsidRDefault="00830B82">
            <w:pPr>
              <w:ind w:left="284"/>
              <w:jc w:val="both"/>
              <w:rPr>
                <w:rFonts w:ascii="Arial" w:eastAsia="Arial" w:hAnsi="Arial" w:cs="Arial"/>
                <w:i/>
                <w:sz w:val="20"/>
                <w:szCs w:val="20"/>
                <w:highlight w:val="white"/>
                <w:u w:val="single"/>
              </w:rPr>
            </w:pPr>
            <w:r w:rsidRPr="00433ECF">
              <w:rPr>
                <w:rFonts w:ascii="Arial" w:eastAsia="Arial" w:hAnsi="Arial" w:cs="Arial"/>
                <w:i/>
                <w:sz w:val="20"/>
                <w:szCs w:val="20"/>
                <w:highlight w:val="white"/>
                <w:u w:val="single"/>
              </w:rPr>
              <w:t>III. Los expedientes judiciales en tanto no causen estado;</w:t>
            </w:r>
          </w:p>
          <w:p w14:paraId="6CB9232C"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15874260"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010A2C3A"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7E4F6E41"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4845B4DE" w14:textId="77777777" w:rsidR="00830B82" w:rsidRPr="00433ECF" w:rsidRDefault="00830B82">
            <w:pPr>
              <w:ind w:left="284"/>
              <w:jc w:val="both"/>
              <w:rPr>
                <w:rFonts w:ascii="Arial" w:eastAsia="Arial" w:hAnsi="Arial" w:cs="Arial"/>
                <w:i/>
                <w:sz w:val="20"/>
                <w:szCs w:val="20"/>
                <w:highlight w:val="white"/>
              </w:rPr>
            </w:pPr>
            <w:r w:rsidRPr="00433ECF">
              <w:rPr>
                <w:rFonts w:ascii="Arial" w:eastAsia="Arial" w:hAnsi="Arial" w:cs="Arial"/>
                <w:i/>
                <w:sz w:val="20"/>
                <w:szCs w:val="20"/>
                <w:highlight w:val="white"/>
              </w:rPr>
              <w:t>…</w:t>
            </w:r>
          </w:p>
          <w:p w14:paraId="35387467" w14:textId="7DB460AD" w:rsidR="00830B82" w:rsidRPr="00433ECF" w:rsidRDefault="00830B82">
            <w:pPr>
              <w:ind w:left="284"/>
              <w:jc w:val="right"/>
              <w:rPr>
                <w:rFonts w:ascii="Arial" w:eastAsia="Arial" w:hAnsi="Arial" w:cs="Arial"/>
                <w:i/>
                <w:sz w:val="20"/>
                <w:szCs w:val="20"/>
                <w:highlight w:val="white"/>
              </w:rPr>
            </w:pPr>
          </w:p>
          <w:p w14:paraId="51D65F65" w14:textId="77777777" w:rsidR="00830B82" w:rsidRPr="00433ECF" w:rsidRDefault="00830B82">
            <w:pPr>
              <w:pStyle w:val="Estilo"/>
              <w:spacing w:line="276" w:lineRule="auto"/>
              <w:rPr>
                <w:i/>
                <w:sz w:val="20"/>
                <w:szCs w:val="20"/>
                <w:lang w:val="es-ES_tradnl"/>
              </w:rPr>
            </w:pPr>
          </w:p>
          <w:p w14:paraId="28168693" w14:textId="77777777" w:rsidR="00830B82" w:rsidRPr="00433ECF" w:rsidRDefault="00830B82">
            <w:pPr>
              <w:pStyle w:val="Estilo"/>
              <w:spacing w:line="276" w:lineRule="auto"/>
              <w:rPr>
                <w:i/>
                <w:sz w:val="20"/>
                <w:szCs w:val="20"/>
                <w:lang w:val="es-ES_tradnl"/>
              </w:rPr>
            </w:pPr>
          </w:p>
        </w:tc>
      </w:tr>
      <w:tr w:rsidR="00830B82" w:rsidRPr="00433ECF" w14:paraId="0226B1FD" w14:textId="77777777" w:rsidTr="00830B82">
        <w:tc>
          <w:tcPr>
            <w:tcW w:w="4265" w:type="dxa"/>
            <w:tcBorders>
              <w:top w:val="single" w:sz="4" w:space="0" w:color="auto"/>
              <w:left w:val="single" w:sz="4" w:space="0" w:color="auto"/>
              <w:bottom w:val="single" w:sz="4" w:space="0" w:color="auto"/>
              <w:right w:val="single" w:sz="4" w:space="0" w:color="auto"/>
            </w:tcBorders>
          </w:tcPr>
          <w:p w14:paraId="37F8F861" w14:textId="77777777" w:rsidR="00830B82" w:rsidRPr="00433ECF" w:rsidRDefault="00830B82">
            <w:pPr>
              <w:pStyle w:val="Estilo"/>
              <w:spacing w:line="276" w:lineRule="auto"/>
              <w:rPr>
                <w:i/>
                <w:sz w:val="20"/>
                <w:szCs w:val="20"/>
                <w:lang w:val="es-ES_tradnl"/>
              </w:rPr>
            </w:pPr>
          </w:p>
          <w:p w14:paraId="655D6C51" w14:textId="77777777" w:rsidR="00830B82" w:rsidRPr="00433ECF" w:rsidRDefault="00830B82">
            <w:pPr>
              <w:pStyle w:val="Estilo"/>
              <w:spacing w:line="276" w:lineRule="auto"/>
              <w:rPr>
                <w:i/>
                <w:sz w:val="20"/>
                <w:szCs w:val="20"/>
                <w:lang w:val="es-ES_tradnl"/>
              </w:rPr>
            </w:pPr>
            <w:r w:rsidRPr="00433ECF">
              <w:rPr>
                <w:i/>
                <w:sz w:val="20"/>
                <w:szCs w:val="20"/>
                <w:lang w:val="es-ES_tradnl"/>
              </w:rPr>
              <w:t>II. La divulgación de dicha información atente efectivamente el interés público protegido por la ley, representando un riesgo real, demostrable e identificable de perjuicio significativo al interés público o a la seguridad estatal;</w:t>
            </w:r>
          </w:p>
          <w:p w14:paraId="4C11506B" w14:textId="77777777" w:rsidR="00830B82" w:rsidRPr="00433ECF" w:rsidRDefault="00830B82">
            <w:pPr>
              <w:pStyle w:val="Estilo"/>
              <w:spacing w:line="276" w:lineRule="auto"/>
              <w:rPr>
                <w:i/>
                <w:sz w:val="20"/>
                <w:szCs w:val="20"/>
                <w:lang w:val="es-ES_tradnl"/>
              </w:rPr>
            </w:pPr>
          </w:p>
        </w:tc>
        <w:tc>
          <w:tcPr>
            <w:tcW w:w="4791" w:type="dxa"/>
            <w:tcBorders>
              <w:top w:val="single" w:sz="4" w:space="0" w:color="auto"/>
              <w:left w:val="single" w:sz="4" w:space="0" w:color="auto"/>
              <w:bottom w:val="single" w:sz="4" w:space="0" w:color="auto"/>
              <w:right w:val="single" w:sz="4" w:space="0" w:color="auto"/>
            </w:tcBorders>
          </w:tcPr>
          <w:p w14:paraId="4F46EF6A" w14:textId="77777777" w:rsidR="00830B82" w:rsidRPr="00433ECF" w:rsidRDefault="00830B82">
            <w:pPr>
              <w:pStyle w:val="Estilo"/>
              <w:spacing w:line="276" w:lineRule="auto"/>
              <w:rPr>
                <w:i/>
                <w:sz w:val="20"/>
                <w:szCs w:val="20"/>
                <w:lang w:val="es-ES_tradnl"/>
              </w:rPr>
            </w:pPr>
          </w:p>
          <w:p w14:paraId="6F5B877A" w14:textId="77777777" w:rsidR="00830B82" w:rsidRPr="00433ECF" w:rsidRDefault="00830B82">
            <w:pPr>
              <w:pStyle w:val="Estilo"/>
              <w:spacing w:line="276" w:lineRule="auto"/>
              <w:rPr>
                <w:i/>
                <w:sz w:val="20"/>
                <w:szCs w:val="20"/>
                <w:lang w:val="es-ES_tradnl"/>
              </w:rPr>
            </w:pPr>
            <w:r w:rsidRPr="00433ECF">
              <w:rPr>
                <w:i/>
                <w:sz w:val="20"/>
                <w:szCs w:val="20"/>
                <w:lang w:val="es-ES_tradnl"/>
              </w:rPr>
              <w:t>Se cumple lo previsto en la fracción II, toda vez que al proporcionar o publicitar las estrategias procesales que pudieran implementarse en el procedimiento judicial, antes de que haya sido concluido, podrían causar confusión o desinformación de quien lo solicite y en perjuicio irreparable de las partes; razón por la que es necesario que el procedimiento jurisdiccional sea resguardado hasta la conclusión total del asunto, evitando así perjuicios, desconciertos o cualquier desinformación relativa al asunto, ya que al revelar actuaciones judiciales antes de tiempo estaría contraviniendo lo que establece la Ley de la materia.</w:t>
            </w:r>
          </w:p>
          <w:p w14:paraId="25694896" w14:textId="77777777" w:rsidR="00830B82" w:rsidRPr="00433ECF" w:rsidRDefault="00830B82">
            <w:pPr>
              <w:pStyle w:val="Estilo"/>
              <w:spacing w:line="276" w:lineRule="auto"/>
              <w:rPr>
                <w:i/>
                <w:sz w:val="20"/>
                <w:szCs w:val="20"/>
                <w:lang w:val="es-ES_tradnl"/>
              </w:rPr>
            </w:pPr>
          </w:p>
          <w:p w14:paraId="5312604F" w14:textId="77777777" w:rsidR="00830B82" w:rsidRPr="00433ECF" w:rsidRDefault="00830B82">
            <w:pPr>
              <w:pStyle w:val="Estilo"/>
              <w:spacing w:line="276" w:lineRule="auto"/>
              <w:rPr>
                <w:i/>
                <w:sz w:val="20"/>
                <w:szCs w:val="20"/>
                <w:lang w:val="es-ES_tradnl"/>
              </w:rPr>
            </w:pPr>
            <w:r w:rsidRPr="00433ECF">
              <w:rPr>
                <w:i/>
                <w:sz w:val="20"/>
                <w:szCs w:val="20"/>
                <w:lang w:val="es-ES_tradnl"/>
              </w:rPr>
              <w:t xml:space="preserve">En este contexto vale la pena señalar que el legislador decidió limitar los efectos del derecho de acceso a la información a un momento procesal concreto, marcado, en todo caso por la resolución definitiva del expediente, por lo que es posible señalar que toda información que obre en un expediente que está sujeto a un proceso judicial o jurisdiccional, se entenderá válidamente reservado, </w:t>
            </w:r>
            <w:r w:rsidRPr="00433ECF">
              <w:rPr>
                <w:i/>
                <w:sz w:val="20"/>
                <w:szCs w:val="20"/>
                <w:lang w:val="es-ES_tradnl"/>
              </w:rPr>
              <w:lastRenderedPageBreak/>
              <w:t>hasta en tanto no cause estado la resolución definitiva correspondiente.</w:t>
            </w:r>
          </w:p>
          <w:p w14:paraId="03058AEC" w14:textId="77777777" w:rsidR="00830B82" w:rsidRPr="00433ECF" w:rsidRDefault="00830B82">
            <w:pPr>
              <w:pStyle w:val="Estilo"/>
              <w:spacing w:line="276" w:lineRule="auto"/>
              <w:rPr>
                <w:i/>
                <w:sz w:val="20"/>
                <w:szCs w:val="20"/>
                <w:lang w:val="es-ES_tradnl"/>
              </w:rPr>
            </w:pPr>
          </w:p>
          <w:p w14:paraId="06AF3982" w14:textId="77777777" w:rsidR="00830B82" w:rsidRPr="00433ECF" w:rsidRDefault="00830B82">
            <w:pPr>
              <w:pStyle w:val="Estilo"/>
              <w:spacing w:line="276" w:lineRule="auto"/>
              <w:rPr>
                <w:i/>
                <w:sz w:val="20"/>
                <w:szCs w:val="20"/>
                <w:lang w:val="es-ES_tradnl"/>
              </w:rPr>
            </w:pPr>
            <w:r w:rsidRPr="00433ECF">
              <w:rPr>
                <w:i/>
                <w:sz w:val="20"/>
                <w:szCs w:val="20"/>
                <w:lang w:val="es-ES_tradnl"/>
              </w:rPr>
              <w:t>Así las cosas, es importante destacar que dicho juicio materia de la solicitud de acceso se encuentra sustanciándose y aún no se han emitido pronunciamientos definitivos que hayan causado estado por parte de las autoridades jurisdiccionales, por lo que el manejo indiscriminado de la información relativa a las documentales que integran el expediente salvo las que tengan vida jurídica propia, de conocerse por alguno de los involucrados o terceros pueden afectar el tratamiento y la defensa con que cuenta esta Secretaría Ejecutiva del Sistema Estatal Anticorrupción de Jalisco, lo que se traduce en una ventaja defensiva indebida y ello puede representar un riesgo grave tanto para el desarrollo de las estrategias procesales como para el resultado de la defensa de los casos que se postulan ante las autoridades judiciales, razón que subsistirá hasta en tanto no se cuente con pronunciamientos definitivos con firmeza de cosa juzgada.</w:t>
            </w:r>
          </w:p>
          <w:p w14:paraId="0B3DE56E" w14:textId="77777777" w:rsidR="00830B82" w:rsidRPr="00433ECF" w:rsidRDefault="00830B82">
            <w:pPr>
              <w:pStyle w:val="Estilo"/>
              <w:spacing w:line="276" w:lineRule="auto"/>
              <w:rPr>
                <w:i/>
                <w:sz w:val="20"/>
                <w:szCs w:val="20"/>
                <w:lang w:val="es-ES_tradnl"/>
              </w:rPr>
            </w:pPr>
          </w:p>
          <w:p w14:paraId="60977614" w14:textId="77777777" w:rsidR="00830B82" w:rsidRPr="00433ECF" w:rsidRDefault="00830B82">
            <w:pPr>
              <w:pStyle w:val="Estilo"/>
              <w:spacing w:line="276" w:lineRule="auto"/>
              <w:rPr>
                <w:i/>
                <w:sz w:val="20"/>
                <w:szCs w:val="20"/>
                <w:lang w:val="es-ES_tradnl"/>
              </w:rPr>
            </w:pPr>
            <w:r w:rsidRPr="00433ECF">
              <w:rPr>
                <w:i/>
                <w:sz w:val="20"/>
                <w:szCs w:val="20"/>
                <w:lang w:val="es-ES_tradnl"/>
              </w:rPr>
              <w:t>Asimismo, el dar a conocer la información que es materia de la solicitud, puede traducirse en una ventaja indebida que fortalezca las estrategias procesales de la parte litigiosa en detrimento de los intereses de esta Secretaría Ejecutiva del Sistema Estatal Anticorrupción de Jalisco.</w:t>
            </w:r>
          </w:p>
          <w:p w14:paraId="2D99D900" w14:textId="77777777" w:rsidR="00830B82" w:rsidRPr="00433ECF" w:rsidRDefault="00830B82">
            <w:pPr>
              <w:pStyle w:val="Estilo"/>
              <w:spacing w:line="276" w:lineRule="auto"/>
              <w:rPr>
                <w:i/>
                <w:sz w:val="20"/>
                <w:szCs w:val="20"/>
                <w:lang w:val="es-ES_tradnl"/>
              </w:rPr>
            </w:pPr>
          </w:p>
        </w:tc>
      </w:tr>
      <w:tr w:rsidR="00830B82" w:rsidRPr="00433ECF" w14:paraId="1794BB7F" w14:textId="77777777" w:rsidTr="00830B82">
        <w:tc>
          <w:tcPr>
            <w:tcW w:w="4265" w:type="dxa"/>
            <w:tcBorders>
              <w:top w:val="single" w:sz="4" w:space="0" w:color="auto"/>
              <w:left w:val="single" w:sz="4" w:space="0" w:color="auto"/>
              <w:bottom w:val="single" w:sz="4" w:space="0" w:color="auto"/>
              <w:right w:val="single" w:sz="4" w:space="0" w:color="auto"/>
            </w:tcBorders>
          </w:tcPr>
          <w:p w14:paraId="2186FA59" w14:textId="77777777" w:rsidR="00830B82" w:rsidRPr="00433ECF" w:rsidRDefault="00830B82">
            <w:pPr>
              <w:pStyle w:val="Estilo"/>
              <w:spacing w:line="276" w:lineRule="auto"/>
              <w:rPr>
                <w:i/>
                <w:sz w:val="20"/>
                <w:szCs w:val="20"/>
                <w:lang w:val="es-ES_tradnl"/>
              </w:rPr>
            </w:pPr>
          </w:p>
          <w:p w14:paraId="523EEE18" w14:textId="77777777" w:rsidR="00830B82" w:rsidRPr="00433ECF" w:rsidRDefault="00830B82">
            <w:pPr>
              <w:pStyle w:val="Estilo"/>
              <w:spacing w:line="276" w:lineRule="auto"/>
              <w:rPr>
                <w:i/>
                <w:sz w:val="20"/>
                <w:szCs w:val="20"/>
                <w:lang w:val="es-ES_tradnl"/>
              </w:rPr>
            </w:pPr>
            <w:r w:rsidRPr="00433ECF">
              <w:rPr>
                <w:i/>
                <w:sz w:val="20"/>
                <w:szCs w:val="20"/>
                <w:lang w:val="es-ES_tradnl"/>
              </w:rPr>
              <w:t>III. El daño o el riesgo de perjuicio que se produciría con la revelación de la información supera el interés público general de conocer la información de referencia;</w:t>
            </w:r>
          </w:p>
        </w:tc>
        <w:tc>
          <w:tcPr>
            <w:tcW w:w="4791" w:type="dxa"/>
            <w:tcBorders>
              <w:top w:val="single" w:sz="4" w:space="0" w:color="auto"/>
              <w:left w:val="single" w:sz="4" w:space="0" w:color="auto"/>
              <w:bottom w:val="single" w:sz="4" w:space="0" w:color="auto"/>
              <w:right w:val="single" w:sz="4" w:space="0" w:color="auto"/>
            </w:tcBorders>
          </w:tcPr>
          <w:p w14:paraId="5340DD51" w14:textId="77777777" w:rsidR="00830B82" w:rsidRPr="00433ECF" w:rsidRDefault="00830B82">
            <w:pPr>
              <w:pStyle w:val="Estilo"/>
              <w:spacing w:line="276" w:lineRule="auto"/>
              <w:rPr>
                <w:bCs/>
                <w:i/>
                <w:sz w:val="20"/>
                <w:szCs w:val="20"/>
                <w:lang w:val="es-ES_tradnl"/>
              </w:rPr>
            </w:pPr>
          </w:p>
          <w:p w14:paraId="7A775B04" w14:textId="77777777" w:rsidR="00830B82" w:rsidRPr="00433ECF" w:rsidRDefault="00830B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eastAsia="Calibri" w:hAnsi="Arial" w:cs="Arial"/>
                <w:bCs/>
                <w:i/>
                <w:sz w:val="20"/>
                <w:szCs w:val="20"/>
                <w:lang w:val="es-MX" w:eastAsia="en-US"/>
              </w:rPr>
            </w:pPr>
            <w:r w:rsidRPr="00433ECF">
              <w:rPr>
                <w:rFonts w:ascii="Arial" w:hAnsi="Arial" w:cs="Arial"/>
                <w:bCs/>
                <w:i/>
                <w:sz w:val="20"/>
                <w:szCs w:val="20"/>
              </w:rPr>
              <w:t xml:space="preserve">Se cumple lo previsto en la fracción III, ya que </w:t>
            </w:r>
            <w:r w:rsidRPr="00433ECF">
              <w:rPr>
                <w:rFonts w:ascii="Arial" w:eastAsia="Calibri" w:hAnsi="Arial" w:cs="Arial"/>
                <w:bCs/>
                <w:i/>
                <w:sz w:val="20"/>
                <w:szCs w:val="20"/>
                <w:lang w:val="es-MX" w:eastAsia="en-US"/>
              </w:rPr>
              <w:t>se estima que el daño causado entre proteger la información que revelándola es más fuerte, ya que sí se llegará a entregar podría poner en perjuicio las estrategias judiciales tendientes a resolver de manera favorable para este Sujeto Obligado aunado a que el supuesto legal de reserva de dicha información aclara que ésta puede otorgarse ante la petición de una autoridad si se diera el caso.</w:t>
            </w:r>
          </w:p>
          <w:p w14:paraId="4FEBAC8D" w14:textId="77777777" w:rsidR="00830B82" w:rsidRPr="00433ECF" w:rsidRDefault="00830B82">
            <w:pPr>
              <w:pStyle w:val="Estilo"/>
              <w:spacing w:line="276" w:lineRule="auto"/>
              <w:rPr>
                <w:bCs/>
                <w:i/>
                <w:sz w:val="20"/>
                <w:szCs w:val="20"/>
                <w:lang w:val="es-ES_tradnl"/>
              </w:rPr>
            </w:pPr>
          </w:p>
          <w:p w14:paraId="1F47800E" w14:textId="77777777" w:rsidR="00830B82" w:rsidRPr="00433ECF" w:rsidRDefault="00830B82">
            <w:pPr>
              <w:pStyle w:val="Estilo"/>
              <w:spacing w:line="276" w:lineRule="auto"/>
              <w:rPr>
                <w:bCs/>
                <w:i/>
                <w:sz w:val="20"/>
                <w:szCs w:val="20"/>
                <w:lang w:val="es-ES_tradnl"/>
              </w:rPr>
            </w:pPr>
          </w:p>
          <w:p w14:paraId="150862F8" w14:textId="77777777" w:rsidR="00830B82" w:rsidRPr="00433ECF" w:rsidRDefault="00830B82">
            <w:pPr>
              <w:pStyle w:val="Estilo"/>
              <w:spacing w:line="276" w:lineRule="auto"/>
              <w:rPr>
                <w:bCs/>
                <w:i/>
                <w:sz w:val="20"/>
                <w:szCs w:val="20"/>
                <w:lang w:val="es-ES_tradnl"/>
              </w:rPr>
            </w:pPr>
            <w:r w:rsidRPr="00433ECF">
              <w:rPr>
                <w:bCs/>
                <w:i/>
                <w:sz w:val="20"/>
                <w:szCs w:val="20"/>
                <w:lang w:val="es-ES_tradnl"/>
              </w:rPr>
              <w:t xml:space="preserve">Asimismo, al tener acceso a dicha información podría causar daño irreparable a las partes que intervienen en el juicio, así como la desinformación, confusión a la ciudadanía en general, de igual forma </w:t>
            </w:r>
            <w:r w:rsidRPr="00433ECF">
              <w:rPr>
                <w:bCs/>
                <w:i/>
                <w:sz w:val="20"/>
                <w:szCs w:val="20"/>
                <w:lang w:val="es-ES_tradnl"/>
              </w:rPr>
              <w:lastRenderedPageBreak/>
              <w:t>por el tipo de información que se encuentra dentro del expediente especifico que se requiere, podría causarse un daño a los ciudadanos que intervienen en el mismo, ya que hacen falta actuaciones procesales que se desarrollen dentro del expediente, tal como el desahogo de incidentes, por lo que es evidente que la reserva resulta de gran importancia.</w:t>
            </w:r>
          </w:p>
          <w:p w14:paraId="7DC97B50" w14:textId="77777777" w:rsidR="00830B82" w:rsidRPr="00433ECF" w:rsidRDefault="00830B82">
            <w:pPr>
              <w:pStyle w:val="Estilo"/>
              <w:spacing w:line="276" w:lineRule="auto"/>
              <w:rPr>
                <w:bCs/>
                <w:i/>
                <w:sz w:val="20"/>
                <w:szCs w:val="20"/>
                <w:lang w:val="es-ES_tradnl"/>
              </w:rPr>
            </w:pPr>
          </w:p>
          <w:p w14:paraId="358CA73F" w14:textId="77777777" w:rsidR="00830B82" w:rsidRPr="00433ECF" w:rsidRDefault="00830B82">
            <w:pPr>
              <w:pStyle w:val="Estilo"/>
              <w:spacing w:line="276" w:lineRule="auto"/>
              <w:rPr>
                <w:bCs/>
                <w:i/>
                <w:sz w:val="20"/>
                <w:szCs w:val="20"/>
                <w:lang w:val="es-ES_tradnl"/>
              </w:rPr>
            </w:pPr>
          </w:p>
          <w:p w14:paraId="6FF8E70A" w14:textId="77777777" w:rsidR="00830B82" w:rsidRPr="00433ECF" w:rsidRDefault="00830B82">
            <w:pPr>
              <w:pStyle w:val="Estilo"/>
              <w:spacing w:line="276" w:lineRule="auto"/>
              <w:rPr>
                <w:bCs/>
                <w:i/>
                <w:sz w:val="20"/>
                <w:szCs w:val="20"/>
                <w:lang w:val="es-ES_tradnl"/>
              </w:rPr>
            </w:pPr>
            <w:r w:rsidRPr="00433ECF">
              <w:rPr>
                <w:bCs/>
                <w:i/>
                <w:sz w:val="20"/>
                <w:szCs w:val="20"/>
                <w:lang w:val="es-ES_tradnl"/>
              </w:rPr>
              <w:t>Aunado a que se pueden generar menoscabos en las estrategias procesales que se implementen en dichos procedimientos, y con la finalidad de no amenazar el interés protegido, tomando en consideración que de liberarse la información el daño que pudiera causar es mayor a cualquier interés por conocer dicha información, por lo que se advierte que la información relativa al juicio de amparo solicitado se encuentra en trámite y se encuentra substanciándose y aún no se ha emitido pronunciamiento definitivo y que haya causado estado por parte de las autoridades jurisdiccionales</w:t>
            </w:r>
          </w:p>
          <w:p w14:paraId="3AC44B97" w14:textId="77777777" w:rsidR="00830B82" w:rsidRPr="00433ECF" w:rsidRDefault="00830B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i/>
                <w:sz w:val="20"/>
                <w:szCs w:val="20"/>
              </w:rPr>
            </w:pPr>
          </w:p>
        </w:tc>
      </w:tr>
      <w:tr w:rsidR="00830B82" w:rsidRPr="00433ECF" w14:paraId="2F1846A2" w14:textId="77777777" w:rsidTr="00830B82">
        <w:tc>
          <w:tcPr>
            <w:tcW w:w="4265" w:type="dxa"/>
            <w:tcBorders>
              <w:top w:val="single" w:sz="4" w:space="0" w:color="auto"/>
              <w:left w:val="single" w:sz="4" w:space="0" w:color="auto"/>
              <w:bottom w:val="single" w:sz="4" w:space="0" w:color="auto"/>
              <w:right w:val="single" w:sz="4" w:space="0" w:color="auto"/>
            </w:tcBorders>
          </w:tcPr>
          <w:p w14:paraId="3FE9B03B" w14:textId="77777777" w:rsidR="00830B82" w:rsidRPr="00433ECF" w:rsidRDefault="00830B82">
            <w:pPr>
              <w:pStyle w:val="Estilo"/>
              <w:spacing w:line="276" w:lineRule="auto"/>
              <w:rPr>
                <w:i/>
                <w:sz w:val="20"/>
                <w:szCs w:val="20"/>
                <w:lang w:val="es-ES"/>
              </w:rPr>
            </w:pPr>
          </w:p>
          <w:p w14:paraId="031AB103" w14:textId="77777777" w:rsidR="00830B82" w:rsidRPr="00433ECF" w:rsidRDefault="00830B82">
            <w:pPr>
              <w:pStyle w:val="Estilo"/>
              <w:spacing w:line="276" w:lineRule="auto"/>
              <w:rPr>
                <w:i/>
                <w:sz w:val="20"/>
                <w:szCs w:val="20"/>
                <w:lang w:val="es-ES_tradnl"/>
              </w:rPr>
            </w:pPr>
            <w:r w:rsidRPr="00433ECF">
              <w:rPr>
                <w:i/>
                <w:sz w:val="20"/>
                <w:szCs w:val="20"/>
                <w:lang w:val="es-ES_tradnl"/>
              </w:rPr>
              <w:t>IV. La limitación se adecua al principio de proporcionalidad y representa el medio menos restrictivo disponible para evitar el perjuicio</w:t>
            </w:r>
          </w:p>
        </w:tc>
        <w:tc>
          <w:tcPr>
            <w:tcW w:w="4791" w:type="dxa"/>
            <w:tcBorders>
              <w:top w:val="single" w:sz="4" w:space="0" w:color="auto"/>
              <w:left w:val="single" w:sz="4" w:space="0" w:color="auto"/>
              <w:bottom w:val="single" w:sz="4" w:space="0" w:color="auto"/>
              <w:right w:val="single" w:sz="4" w:space="0" w:color="auto"/>
            </w:tcBorders>
          </w:tcPr>
          <w:p w14:paraId="320570F2" w14:textId="77777777" w:rsidR="00830B82" w:rsidRPr="00433ECF" w:rsidRDefault="00830B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i/>
                <w:sz w:val="20"/>
                <w:szCs w:val="20"/>
                <w:lang w:val="es-MX" w:eastAsia="es-MX"/>
              </w:rPr>
            </w:pPr>
          </w:p>
          <w:p w14:paraId="15CAB7E1" w14:textId="77777777" w:rsidR="00830B82" w:rsidRPr="00433ECF" w:rsidRDefault="00830B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eastAsia="Calibri" w:hAnsi="Arial" w:cs="Arial"/>
                <w:bCs/>
                <w:i/>
                <w:sz w:val="20"/>
                <w:szCs w:val="20"/>
                <w:lang w:val="es-MX" w:eastAsia="en-US"/>
              </w:rPr>
            </w:pPr>
            <w:r w:rsidRPr="00433ECF">
              <w:rPr>
                <w:rFonts w:ascii="Arial" w:eastAsia="Calibri" w:hAnsi="Arial" w:cs="Arial"/>
                <w:bCs/>
                <w:i/>
                <w:sz w:val="20"/>
                <w:szCs w:val="20"/>
                <w:lang w:val="es-MX" w:eastAsia="en-US"/>
              </w:rPr>
              <w:t>Se cumple lo previsto en la fracción IV, toda vez que, se considera que reservar la información solicitada es proporcional y representa el medio menos restrictivo posible disponible para evitar un perjuicio, pues como ya se ha señalado, de darse a conocer la información podría vulnerar el estado de derecho.</w:t>
            </w:r>
          </w:p>
          <w:p w14:paraId="1CFCF38E" w14:textId="77777777" w:rsidR="00830B82" w:rsidRPr="00433ECF" w:rsidRDefault="00830B8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Cs/>
                <w:i/>
                <w:sz w:val="20"/>
                <w:szCs w:val="20"/>
              </w:rPr>
            </w:pPr>
            <w:r w:rsidRPr="00433ECF">
              <w:rPr>
                <w:rFonts w:ascii="Arial" w:eastAsia="Calibri" w:hAnsi="Arial" w:cs="Arial"/>
                <w:bCs/>
                <w:i/>
                <w:sz w:val="20"/>
                <w:szCs w:val="20"/>
                <w:lang w:val="es-MX" w:eastAsia="en-US"/>
              </w:rPr>
              <w:t xml:space="preserve"> </w:t>
            </w:r>
          </w:p>
        </w:tc>
      </w:tr>
    </w:tbl>
    <w:p w14:paraId="3A18A3E3" w14:textId="59801755" w:rsidR="00E731DB" w:rsidRPr="00433ECF" w:rsidRDefault="00E731DB" w:rsidP="00E731DB">
      <w:pPr>
        <w:jc w:val="both"/>
        <w:rPr>
          <w:rFonts w:ascii="Arial" w:hAnsi="Arial" w:cs="Arial"/>
          <w:sz w:val="22"/>
          <w:szCs w:val="22"/>
        </w:rPr>
      </w:pPr>
    </w:p>
    <w:p w14:paraId="220BF744" w14:textId="4019A7F2" w:rsidR="00830B82" w:rsidRPr="00433ECF" w:rsidRDefault="00830B82" w:rsidP="00E731DB">
      <w:pPr>
        <w:jc w:val="both"/>
        <w:rPr>
          <w:rFonts w:ascii="Arial" w:hAnsi="Arial" w:cs="Arial"/>
          <w:sz w:val="22"/>
          <w:szCs w:val="22"/>
        </w:rPr>
      </w:pPr>
    </w:p>
    <w:p w14:paraId="334CCA41" w14:textId="23F7E333" w:rsidR="00830B82" w:rsidRPr="00433ECF" w:rsidRDefault="00830B82" w:rsidP="00E731DB">
      <w:pPr>
        <w:jc w:val="both"/>
        <w:rPr>
          <w:rFonts w:ascii="Arial" w:hAnsi="Arial" w:cs="Arial"/>
          <w:sz w:val="22"/>
          <w:szCs w:val="22"/>
        </w:rPr>
      </w:pPr>
    </w:p>
    <w:p w14:paraId="77D3EF38" w14:textId="188D336D" w:rsidR="00830B82" w:rsidRPr="00433ECF" w:rsidRDefault="00830B82" w:rsidP="00E731DB">
      <w:pPr>
        <w:jc w:val="both"/>
        <w:rPr>
          <w:rFonts w:ascii="Arial" w:hAnsi="Arial" w:cs="Arial"/>
          <w:sz w:val="22"/>
          <w:szCs w:val="22"/>
        </w:rPr>
      </w:pPr>
    </w:p>
    <w:p w14:paraId="7BFAAEA4" w14:textId="5B0AC5CF" w:rsidR="00830B82" w:rsidRPr="00433ECF" w:rsidRDefault="00830B82" w:rsidP="00E731DB">
      <w:pPr>
        <w:jc w:val="both"/>
        <w:rPr>
          <w:rFonts w:ascii="Arial" w:hAnsi="Arial" w:cs="Arial"/>
          <w:sz w:val="22"/>
          <w:szCs w:val="22"/>
        </w:rPr>
      </w:pPr>
    </w:p>
    <w:p w14:paraId="47537655" w14:textId="67EF7670" w:rsidR="00830B82" w:rsidRPr="00433ECF" w:rsidRDefault="00830B82" w:rsidP="00E731DB">
      <w:pPr>
        <w:jc w:val="both"/>
        <w:rPr>
          <w:rFonts w:ascii="Arial" w:hAnsi="Arial" w:cs="Arial"/>
          <w:sz w:val="22"/>
          <w:szCs w:val="22"/>
        </w:rPr>
      </w:pPr>
    </w:p>
    <w:p w14:paraId="689FA58A" w14:textId="4F9E8CD4" w:rsidR="00830B82" w:rsidRPr="00433ECF" w:rsidRDefault="00830B82" w:rsidP="00E731DB">
      <w:pPr>
        <w:jc w:val="both"/>
        <w:rPr>
          <w:rFonts w:ascii="Arial" w:hAnsi="Arial" w:cs="Arial"/>
          <w:sz w:val="22"/>
          <w:szCs w:val="22"/>
        </w:rPr>
      </w:pPr>
    </w:p>
    <w:p w14:paraId="108D77DC" w14:textId="1E3BFA68" w:rsidR="00830B82" w:rsidRPr="00433ECF" w:rsidRDefault="00830B82" w:rsidP="00E731DB">
      <w:pPr>
        <w:jc w:val="both"/>
        <w:rPr>
          <w:rFonts w:ascii="Arial" w:hAnsi="Arial" w:cs="Arial"/>
          <w:sz w:val="22"/>
          <w:szCs w:val="22"/>
        </w:rPr>
      </w:pPr>
    </w:p>
    <w:p w14:paraId="7E022631" w14:textId="338031C5" w:rsidR="00830B82" w:rsidRPr="00433ECF" w:rsidRDefault="00830B82" w:rsidP="00E731DB">
      <w:pPr>
        <w:jc w:val="both"/>
        <w:rPr>
          <w:rFonts w:ascii="Arial" w:hAnsi="Arial" w:cs="Arial"/>
          <w:sz w:val="22"/>
          <w:szCs w:val="22"/>
        </w:rPr>
      </w:pPr>
    </w:p>
    <w:p w14:paraId="580211BB" w14:textId="626F117E" w:rsidR="00830B82" w:rsidRPr="00433ECF" w:rsidRDefault="00830B82" w:rsidP="00E731DB">
      <w:pPr>
        <w:jc w:val="both"/>
        <w:rPr>
          <w:rFonts w:ascii="Arial" w:hAnsi="Arial" w:cs="Arial"/>
          <w:sz w:val="22"/>
          <w:szCs w:val="22"/>
        </w:rPr>
      </w:pPr>
    </w:p>
    <w:p w14:paraId="59FEF174" w14:textId="2481D173" w:rsidR="00830B82" w:rsidRPr="00433ECF" w:rsidRDefault="00830B82" w:rsidP="00E731DB">
      <w:pPr>
        <w:jc w:val="both"/>
        <w:rPr>
          <w:rFonts w:ascii="Arial" w:hAnsi="Arial" w:cs="Arial"/>
          <w:sz w:val="22"/>
          <w:szCs w:val="22"/>
        </w:rPr>
      </w:pPr>
    </w:p>
    <w:p w14:paraId="234CE83E" w14:textId="58766698" w:rsidR="00830B82" w:rsidRPr="00433ECF" w:rsidRDefault="00830B82" w:rsidP="00E731DB">
      <w:pPr>
        <w:jc w:val="both"/>
        <w:rPr>
          <w:rFonts w:ascii="Arial" w:hAnsi="Arial" w:cs="Arial"/>
          <w:sz w:val="22"/>
          <w:szCs w:val="22"/>
        </w:rPr>
      </w:pPr>
    </w:p>
    <w:p w14:paraId="514AA76A" w14:textId="38057150" w:rsidR="00830B82" w:rsidRPr="00433ECF" w:rsidRDefault="00830B82" w:rsidP="00E731DB">
      <w:pPr>
        <w:jc w:val="both"/>
        <w:rPr>
          <w:rFonts w:ascii="Arial" w:hAnsi="Arial" w:cs="Arial"/>
          <w:sz w:val="22"/>
          <w:szCs w:val="22"/>
        </w:rPr>
      </w:pPr>
    </w:p>
    <w:p w14:paraId="4B75EF5C" w14:textId="77777777" w:rsidR="00830B82" w:rsidRPr="00433ECF" w:rsidRDefault="00830B82" w:rsidP="00E731DB">
      <w:pPr>
        <w:jc w:val="both"/>
        <w:rPr>
          <w:rFonts w:ascii="Arial" w:hAnsi="Arial" w:cs="Arial"/>
          <w:sz w:val="22"/>
          <w:szCs w:val="22"/>
        </w:rPr>
      </w:pPr>
    </w:p>
    <w:p w14:paraId="14D008B5" w14:textId="77777777" w:rsidR="00433ECF" w:rsidRDefault="00433ECF" w:rsidP="00E731DB">
      <w:pPr>
        <w:jc w:val="both"/>
        <w:rPr>
          <w:rFonts w:ascii="Arial" w:eastAsia="Calibri" w:hAnsi="Arial" w:cs="Arial"/>
          <w:sz w:val="22"/>
          <w:szCs w:val="22"/>
          <w:lang w:val="es-MX" w:eastAsia="en-US"/>
        </w:rPr>
      </w:pPr>
    </w:p>
    <w:p w14:paraId="49CF7911" w14:textId="77777777" w:rsidR="00433ECF" w:rsidRDefault="00433ECF" w:rsidP="00E731DB">
      <w:pPr>
        <w:jc w:val="both"/>
        <w:rPr>
          <w:rFonts w:ascii="Arial" w:eastAsia="Calibri" w:hAnsi="Arial" w:cs="Arial"/>
          <w:sz w:val="22"/>
          <w:szCs w:val="22"/>
          <w:lang w:val="es-MX" w:eastAsia="en-US"/>
        </w:rPr>
      </w:pPr>
    </w:p>
    <w:p w14:paraId="21352C6B" w14:textId="77777777" w:rsidR="00433ECF" w:rsidRDefault="00433ECF" w:rsidP="00E731DB">
      <w:pPr>
        <w:jc w:val="both"/>
        <w:rPr>
          <w:rFonts w:ascii="Arial" w:eastAsia="Calibri" w:hAnsi="Arial" w:cs="Arial"/>
          <w:sz w:val="22"/>
          <w:szCs w:val="22"/>
          <w:lang w:val="es-MX" w:eastAsia="en-US"/>
        </w:rPr>
      </w:pPr>
    </w:p>
    <w:p w14:paraId="6423582B" w14:textId="77777777" w:rsidR="00433ECF" w:rsidRDefault="00433ECF" w:rsidP="00E731DB">
      <w:pPr>
        <w:jc w:val="both"/>
        <w:rPr>
          <w:rFonts w:ascii="Arial" w:eastAsia="Calibri" w:hAnsi="Arial" w:cs="Arial"/>
          <w:sz w:val="22"/>
          <w:szCs w:val="22"/>
          <w:lang w:val="es-MX" w:eastAsia="en-US"/>
        </w:rPr>
      </w:pPr>
    </w:p>
    <w:p w14:paraId="332ADBCB" w14:textId="77777777" w:rsidR="00433ECF" w:rsidRDefault="00433ECF" w:rsidP="00E731DB">
      <w:pPr>
        <w:jc w:val="both"/>
        <w:rPr>
          <w:rFonts w:ascii="Arial" w:eastAsia="Calibri" w:hAnsi="Arial" w:cs="Arial"/>
          <w:sz w:val="22"/>
          <w:szCs w:val="22"/>
          <w:lang w:val="es-MX" w:eastAsia="en-US"/>
        </w:rPr>
      </w:pPr>
    </w:p>
    <w:p w14:paraId="17BF7A96" w14:textId="77777777" w:rsidR="00433ECF" w:rsidRDefault="00433ECF" w:rsidP="00E731DB">
      <w:pPr>
        <w:jc w:val="both"/>
        <w:rPr>
          <w:rFonts w:ascii="Arial" w:eastAsia="Calibri" w:hAnsi="Arial" w:cs="Arial"/>
          <w:sz w:val="22"/>
          <w:szCs w:val="22"/>
          <w:lang w:val="es-MX" w:eastAsia="en-US"/>
        </w:rPr>
      </w:pPr>
    </w:p>
    <w:p w14:paraId="3957D006" w14:textId="77777777" w:rsidR="00433ECF" w:rsidRDefault="00433ECF" w:rsidP="00E731DB">
      <w:pPr>
        <w:jc w:val="both"/>
        <w:rPr>
          <w:rFonts w:ascii="Arial" w:eastAsia="Calibri" w:hAnsi="Arial" w:cs="Arial"/>
          <w:sz w:val="22"/>
          <w:szCs w:val="22"/>
          <w:lang w:val="es-MX" w:eastAsia="en-US"/>
        </w:rPr>
      </w:pPr>
    </w:p>
    <w:p w14:paraId="02933290" w14:textId="77777777" w:rsidR="00433ECF" w:rsidRDefault="00433ECF" w:rsidP="00E731DB">
      <w:pPr>
        <w:jc w:val="both"/>
        <w:rPr>
          <w:rFonts w:ascii="Arial" w:eastAsia="Calibri" w:hAnsi="Arial" w:cs="Arial"/>
          <w:sz w:val="22"/>
          <w:szCs w:val="22"/>
          <w:lang w:val="es-MX" w:eastAsia="en-US"/>
        </w:rPr>
      </w:pPr>
    </w:p>
    <w:p w14:paraId="45F00599" w14:textId="77777777" w:rsidR="00060157" w:rsidRDefault="00060157" w:rsidP="00E731DB">
      <w:pPr>
        <w:jc w:val="both"/>
        <w:rPr>
          <w:rFonts w:ascii="Arial" w:eastAsia="Calibri" w:hAnsi="Arial" w:cs="Arial"/>
          <w:sz w:val="22"/>
          <w:szCs w:val="22"/>
          <w:lang w:val="es-MX" w:eastAsia="en-US"/>
        </w:rPr>
      </w:pPr>
    </w:p>
    <w:p w14:paraId="1FE93C14" w14:textId="77777777" w:rsidR="00060157" w:rsidRDefault="00060157" w:rsidP="00E731DB">
      <w:pPr>
        <w:jc w:val="both"/>
        <w:rPr>
          <w:rFonts w:ascii="Arial" w:eastAsia="Calibri" w:hAnsi="Arial" w:cs="Arial"/>
          <w:sz w:val="22"/>
          <w:szCs w:val="22"/>
          <w:lang w:val="es-MX" w:eastAsia="en-US"/>
        </w:rPr>
      </w:pPr>
    </w:p>
    <w:p w14:paraId="49F3F6D4" w14:textId="77777777" w:rsidR="00060157" w:rsidRDefault="00060157" w:rsidP="00E731DB">
      <w:pPr>
        <w:jc w:val="both"/>
        <w:rPr>
          <w:rFonts w:ascii="Arial" w:eastAsia="Calibri" w:hAnsi="Arial" w:cs="Arial"/>
          <w:sz w:val="22"/>
          <w:szCs w:val="22"/>
          <w:lang w:val="es-MX" w:eastAsia="en-US"/>
        </w:rPr>
      </w:pPr>
    </w:p>
    <w:p w14:paraId="53E6CDDD" w14:textId="77777777" w:rsidR="00060157" w:rsidRDefault="00060157" w:rsidP="00E731DB">
      <w:pPr>
        <w:jc w:val="both"/>
        <w:rPr>
          <w:rFonts w:ascii="Arial" w:eastAsia="Calibri" w:hAnsi="Arial" w:cs="Arial"/>
          <w:sz w:val="22"/>
          <w:szCs w:val="22"/>
          <w:lang w:val="es-MX" w:eastAsia="en-US"/>
        </w:rPr>
      </w:pPr>
    </w:p>
    <w:p w14:paraId="07B71832" w14:textId="77777777" w:rsidR="00060157" w:rsidRDefault="00060157" w:rsidP="00E731DB">
      <w:pPr>
        <w:jc w:val="both"/>
        <w:rPr>
          <w:rFonts w:ascii="Arial" w:eastAsia="Calibri" w:hAnsi="Arial" w:cs="Arial"/>
          <w:sz w:val="22"/>
          <w:szCs w:val="22"/>
          <w:lang w:val="es-MX" w:eastAsia="en-US"/>
        </w:rPr>
      </w:pPr>
    </w:p>
    <w:p w14:paraId="13F04D9E" w14:textId="77777777" w:rsidR="00060157" w:rsidRDefault="00060157" w:rsidP="00E731DB">
      <w:pPr>
        <w:jc w:val="both"/>
        <w:rPr>
          <w:rFonts w:ascii="Arial" w:eastAsia="Calibri" w:hAnsi="Arial" w:cs="Arial"/>
          <w:sz w:val="22"/>
          <w:szCs w:val="22"/>
          <w:lang w:val="es-MX" w:eastAsia="en-US"/>
        </w:rPr>
      </w:pPr>
    </w:p>
    <w:p w14:paraId="5FE8C688" w14:textId="77777777" w:rsidR="00060157" w:rsidRDefault="00060157" w:rsidP="00E731DB">
      <w:pPr>
        <w:jc w:val="both"/>
        <w:rPr>
          <w:rFonts w:ascii="Arial" w:eastAsia="Calibri" w:hAnsi="Arial" w:cs="Arial"/>
          <w:sz w:val="22"/>
          <w:szCs w:val="22"/>
          <w:lang w:val="es-MX" w:eastAsia="en-US"/>
        </w:rPr>
      </w:pPr>
    </w:p>
    <w:p w14:paraId="46F8E644" w14:textId="77777777" w:rsidR="00060157" w:rsidRDefault="00060157" w:rsidP="00E731DB">
      <w:pPr>
        <w:jc w:val="both"/>
        <w:rPr>
          <w:rFonts w:ascii="Arial" w:eastAsia="Calibri" w:hAnsi="Arial" w:cs="Arial"/>
          <w:sz w:val="22"/>
          <w:szCs w:val="22"/>
          <w:lang w:val="es-MX" w:eastAsia="en-US"/>
        </w:rPr>
      </w:pPr>
    </w:p>
    <w:p w14:paraId="72B8717E" w14:textId="77777777" w:rsidR="00060157" w:rsidRDefault="00060157" w:rsidP="00E731DB">
      <w:pPr>
        <w:jc w:val="both"/>
        <w:rPr>
          <w:rFonts w:ascii="Arial" w:eastAsia="Calibri" w:hAnsi="Arial" w:cs="Arial"/>
          <w:sz w:val="22"/>
          <w:szCs w:val="22"/>
          <w:lang w:val="es-MX" w:eastAsia="en-US"/>
        </w:rPr>
      </w:pPr>
    </w:p>
    <w:p w14:paraId="3D1D4D92" w14:textId="77777777" w:rsidR="00060157" w:rsidRDefault="00060157" w:rsidP="00E731DB">
      <w:pPr>
        <w:jc w:val="both"/>
        <w:rPr>
          <w:rFonts w:ascii="Arial" w:eastAsia="Calibri" w:hAnsi="Arial" w:cs="Arial"/>
          <w:sz w:val="22"/>
          <w:szCs w:val="22"/>
          <w:lang w:val="es-MX" w:eastAsia="en-US"/>
        </w:rPr>
      </w:pPr>
    </w:p>
    <w:p w14:paraId="2D2348DB" w14:textId="77777777" w:rsidR="00060157" w:rsidRDefault="00060157" w:rsidP="00E731DB">
      <w:pPr>
        <w:jc w:val="both"/>
        <w:rPr>
          <w:rFonts w:ascii="Arial" w:eastAsia="Calibri" w:hAnsi="Arial" w:cs="Arial"/>
          <w:sz w:val="22"/>
          <w:szCs w:val="22"/>
          <w:lang w:val="es-MX" w:eastAsia="en-US"/>
        </w:rPr>
      </w:pPr>
    </w:p>
    <w:p w14:paraId="5E540F9C" w14:textId="2835A5B8" w:rsidR="00E731DB" w:rsidRPr="00433ECF" w:rsidRDefault="00E731DB" w:rsidP="00E731DB">
      <w:pPr>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Es así </w:t>
      </w:r>
      <w:proofErr w:type="gramStart"/>
      <w:r w:rsidRPr="00433ECF">
        <w:rPr>
          <w:rFonts w:ascii="Arial" w:eastAsia="Calibri" w:hAnsi="Arial" w:cs="Arial"/>
          <w:sz w:val="22"/>
          <w:szCs w:val="22"/>
          <w:lang w:val="es-MX" w:eastAsia="en-US"/>
        </w:rPr>
        <w:t>que</w:t>
      </w:r>
      <w:proofErr w:type="gramEnd"/>
      <w:r w:rsidRPr="00433ECF">
        <w:rPr>
          <w:rFonts w:ascii="Arial" w:eastAsia="Calibri" w:hAnsi="Arial" w:cs="Arial"/>
          <w:sz w:val="22"/>
          <w:szCs w:val="22"/>
          <w:lang w:val="es-MX" w:eastAsia="en-US"/>
        </w:rPr>
        <w:t xml:space="preserve"> después de analizar dicha prueba de daño, se somete a votación para la reserva </w:t>
      </w:r>
      <w:r w:rsidR="00413ABC" w:rsidRPr="00433ECF">
        <w:rPr>
          <w:rFonts w:ascii="Arial" w:eastAsia="Calibri" w:hAnsi="Arial" w:cs="Arial"/>
          <w:sz w:val="22"/>
          <w:szCs w:val="22"/>
          <w:lang w:val="es-MX" w:eastAsia="en-US"/>
        </w:rPr>
        <w:t xml:space="preserve">de las copias del amparo </w:t>
      </w:r>
      <w:r w:rsidR="00413ABC" w:rsidRPr="00433ECF">
        <w:rPr>
          <w:rFonts w:ascii="Arial" w:eastAsia="Arial" w:hAnsi="Arial" w:cs="Arial"/>
          <w:i/>
          <w:sz w:val="22"/>
          <w:szCs w:val="22"/>
          <w:highlight w:val="white"/>
        </w:rPr>
        <w:t>316/2021-IV interpuesto en contra del Órgano de Gobierno de la Secretaría Ejecutiva del Sistema Estatal Anticorrupción</w:t>
      </w:r>
      <w:r w:rsidRPr="00433ECF">
        <w:rPr>
          <w:rFonts w:ascii="Arial" w:hAnsi="Arial" w:cs="Arial"/>
          <w:b/>
          <w:sz w:val="22"/>
          <w:szCs w:val="22"/>
        </w:rPr>
        <w:t xml:space="preserve">, </w:t>
      </w:r>
      <w:r w:rsidRPr="00433ECF">
        <w:rPr>
          <w:rFonts w:ascii="Arial" w:hAnsi="Arial" w:cs="Arial"/>
          <w:bCs/>
          <w:sz w:val="22"/>
          <w:szCs w:val="22"/>
        </w:rPr>
        <w:t>la</w:t>
      </w:r>
      <w:r w:rsidRPr="00433ECF">
        <w:rPr>
          <w:rFonts w:ascii="Arial" w:hAnsi="Arial" w:cs="Arial"/>
          <w:b/>
          <w:sz w:val="22"/>
          <w:szCs w:val="22"/>
        </w:rPr>
        <w:t xml:space="preserve"> </w:t>
      </w:r>
      <w:r w:rsidRPr="00433ECF">
        <w:rPr>
          <w:rFonts w:ascii="Arial" w:eastAsia="Calibri" w:hAnsi="Arial" w:cs="Arial"/>
          <w:sz w:val="22"/>
          <w:szCs w:val="22"/>
          <w:lang w:val="es-MX" w:eastAsia="en-US"/>
        </w:rPr>
        <w:t>cual arrojo un total de tres votos a favor.</w:t>
      </w:r>
    </w:p>
    <w:p w14:paraId="27DE6D6D" w14:textId="4F623A2A" w:rsidR="00E731DB" w:rsidRPr="00433ECF" w:rsidRDefault="00E731DB" w:rsidP="00E731DB">
      <w:pPr>
        <w:jc w:val="both"/>
        <w:rPr>
          <w:rFonts w:ascii="Arial" w:eastAsia="Times New Roman" w:hAnsi="Arial" w:cs="Arial"/>
          <w:sz w:val="22"/>
          <w:szCs w:val="22"/>
        </w:rPr>
      </w:pPr>
    </w:p>
    <w:p w14:paraId="1B18C6B7" w14:textId="64077861" w:rsidR="00E731DB" w:rsidRDefault="00E731DB" w:rsidP="00E731DB">
      <w:pPr>
        <w:spacing w:after="160" w:line="256"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Y en base a lo anteriormente expuesto, se acuerda lo siguiente:</w:t>
      </w:r>
    </w:p>
    <w:p w14:paraId="0DA218AE" w14:textId="77777777" w:rsidR="00433ECF" w:rsidRPr="00433ECF" w:rsidRDefault="00433ECF" w:rsidP="00E731DB">
      <w:pPr>
        <w:spacing w:after="160" w:line="256" w:lineRule="auto"/>
        <w:ind w:right="-39"/>
        <w:jc w:val="both"/>
        <w:rPr>
          <w:rFonts w:ascii="Arial" w:eastAsia="Calibri" w:hAnsi="Arial" w:cs="Arial"/>
          <w:sz w:val="22"/>
          <w:szCs w:val="22"/>
          <w:lang w:val="es-MX" w:eastAsia="en-US"/>
        </w:rPr>
      </w:pPr>
    </w:p>
    <w:p w14:paraId="208C2556" w14:textId="20180F8C" w:rsidR="00E731DB" w:rsidRPr="00433ECF" w:rsidRDefault="00E731DB" w:rsidP="00E731DB">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w:t>
      </w:r>
      <w:r w:rsidR="00413ABC" w:rsidRPr="00433ECF">
        <w:rPr>
          <w:rFonts w:ascii="Arial" w:eastAsia="Calibri" w:hAnsi="Arial" w:cs="Arial"/>
          <w:b/>
          <w:i/>
          <w:sz w:val="22"/>
          <w:szCs w:val="22"/>
          <w:u w:val="single"/>
          <w:lang w:val="es-MX" w:eastAsia="en-US"/>
        </w:rPr>
        <w:t>06</w:t>
      </w:r>
      <w:r w:rsidRPr="00433ECF">
        <w:rPr>
          <w:rFonts w:ascii="Arial" w:eastAsia="Calibri" w:hAnsi="Arial" w:cs="Arial"/>
          <w:b/>
          <w:i/>
          <w:sz w:val="22"/>
          <w:szCs w:val="22"/>
          <w:u w:val="single"/>
          <w:lang w:val="es-MX" w:eastAsia="en-US"/>
        </w:rPr>
        <w:t>/202</w:t>
      </w:r>
      <w:r w:rsidR="00413ABC" w:rsidRPr="00433ECF">
        <w:rPr>
          <w:rFonts w:ascii="Arial" w:eastAsia="Calibri" w:hAnsi="Arial" w:cs="Arial"/>
          <w:b/>
          <w:i/>
          <w:sz w:val="22"/>
          <w:szCs w:val="22"/>
          <w:u w:val="single"/>
          <w:lang w:val="es-MX" w:eastAsia="en-US"/>
        </w:rPr>
        <w:t>1</w:t>
      </w:r>
    </w:p>
    <w:p w14:paraId="02644EB1" w14:textId="77777777" w:rsidR="00433ECF" w:rsidRDefault="00433ECF" w:rsidP="00662697">
      <w:pPr>
        <w:ind w:left="567" w:right="992"/>
        <w:jc w:val="both"/>
        <w:rPr>
          <w:rFonts w:ascii="Arial" w:eastAsia="Calibri" w:hAnsi="Arial" w:cs="Arial"/>
          <w:i/>
          <w:sz w:val="22"/>
          <w:szCs w:val="22"/>
          <w:lang w:val="es-MX" w:eastAsia="en-US"/>
        </w:rPr>
      </w:pPr>
    </w:p>
    <w:p w14:paraId="3B811954" w14:textId="1E9983DC" w:rsidR="00E731DB" w:rsidRPr="00433ECF" w:rsidRDefault="00E731DB" w:rsidP="00662697">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00A96F7A" w:rsidRPr="00433ECF">
        <w:rPr>
          <w:rFonts w:ascii="Arial" w:eastAsia="Calibri" w:hAnsi="Arial" w:cs="Arial"/>
          <w:bCs/>
          <w:i/>
          <w:sz w:val="22"/>
          <w:szCs w:val="22"/>
          <w:lang w:val="es-MX" w:eastAsia="en-US"/>
        </w:rPr>
        <w:t xml:space="preserve">Este comité de Transparencia, </w:t>
      </w:r>
      <w:r w:rsidR="00413ABC" w:rsidRPr="00433ECF">
        <w:rPr>
          <w:rFonts w:ascii="Arial" w:eastAsia="Calibri" w:hAnsi="Arial" w:cs="Arial"/>
          <w:bCs/>
          <w:i/>
          <w:sz w:val="22"/>
          <w:szCs w:val="22"/>
          <w:lang w:val="es-MX" w:eastAsia="en-US"/>
        </w:rPr>
        <w:t xml:space="preserve">reserva la información correspondiente al amparo 316/2021-IV interpuesto en contra del Órgano de Gobierno de la Secretaría Ejecutiva del Sistema Estatal </w:t>
      </w:r>
      <w:proofErr w:type="spellStart"/>
      <w:r w:rsidR="00413ABC" w:rsidRPr="00433ECF">
        <w:rPr>
          <w:rFonts w:ascii="Arial" w:eastAsia="Calibri" w:hAnsi="Arial" w:cs="Arial"/>
          <w:bCs/>
          <w:i/>
          <w:sz w:val="22"/>
          <w:szCs w:val="22"/>
          <w:lang w:val="es-MX" w:eastAsia="en-US"/>
        </w:rPr>
        <w:t>Anticorupción</w:t>
      </w:r>
      <w:proofErr w:type="spellEnd"/>
      <w:r w:rsidRPr="00433ECF">
        <w:rPr>
          <w:rFonts w:ascii="Arial" w:eastAsia="Calibri" w:hAnsi="Arial" w:cs="Arial"/>
          <w:i/>
          <w:sz w:val="22"/>
          <w:szCs w:val="22"/>
          <w:lang w:val="es-MX" w:eastAsia="en-US"/>
        </w:rPr>
        <w:t>”.</w:t>
      </w:r>
    </w:p>
    <w:p w14:paraId="1A333E57" w14:textId="5D2B7F84" w:rsidR="00413ABC" w:rsidRDefault="00413ABC" w:rsidP="00413ABC">
      <w:pPr>
        <w:ind w:right="992"/>
        <w:jc w:val="both"/>
        <w:rPr>
          <w:rFonts w:ascii="Arial" w:eastAsia="Calibri" w:hAnsi="Arial" w:cs="Arial"/>
          <w:b/>
          <w:bCs/>
          <w:i/>
          <w:sz w:val="22"/>
          <w:szCs w:val="22"/>
          <w:lang w:val="es-MX" w:eastAsia="en-US"/>
        </w:rPr>
      </w:pPr>
    </w:p>
    <w:p w14:paraId="68C7D307" w14:textId="54F7AFD9" w:rsidR="00433ECF" w:rsidRDefault="00433ECF" w:rsidP="00413ABC">
      <w:pPr>
        <w:ind w:right="992"/>
        <w:jc w:val="both"/>
        <w:rPr>
          <w:rFonts w:ascii="Arial" w:eastAsia="Calibri" w:hAnsi="Arial" w:cs="Arial"/>
          <w:b/>
          <w:bCs/>
          <w:i/>
          <w:sz w:val="22"/>
          <w:szCs w:val="22"/>
          <w:lang w:val="es-MX" w:eastAsia="en-US"/>
        </w:rPr>
      </w:pPr>
    </w:p>
    <w:p w14:paraId="3D21FEC9" w14:textId="77777777" w:rsidR="00433ECF" w:rsidRPr="00433ECF" w:rsidRDefault="00433ECF" w:rsidP="00413ABC">
      <w:pPr>
        <w:ind w:right="992"/>
        <w:jc w:val="both"/>
        <w:rPr>
          <w:rFonts w:ascii="Arial" w:eastAsia="Calibri" w:hAnsi="Arial" w:cs="Arial"/>
          <w:b/>
          <w:bCs/>
          <w:i/>
          <w:sz w:val="22"/>
          <w:szCs w:val="22"/>
          <w:lang w:val="es-MX" w:eastAsia="en-US"/>
        </w:rPr>
      </w:pPr>
    </w:p>
    <w:p w14:paraId="62D06733" w14:textId="173CE3F2" w:rsidR="00413ABC" w:rsidRPr="00433ECF" w:rsidRDefault="00413ABC" w:rsidP="00413ABC">
      <w:pPr>
        <w:pStyle w:val="Prrafodelista"/>
        <w:numPr>
          <w:ilvl w:val="0"/>
          <w:numId w:val="1"/>
        </w:numPr>
        <w:spacing w:after="160" w:line="256" w:lineRule="auto"/>
        <w:contextualSpacing/>
        <w:rPr>
          <w:rFonts w:ascii="Arial" w:hAnsi="Arial" w:cs="Arial"/>
          <w:b/>
          <w:bCs/>
          <w:sz w:val="22"/>
          <w:szCs w:val="22"/>
        </w:rPr>
      </w:pPr>
      <w:r w:rsidRPr="00433ECF">
        <w:rPr>
          <w:rFonts w:ascii="Arial" w:hAnsi="Arial" w:cs="Arial"/>
          <w:b/>
          <w:bCs/>
          <w:sz w:val="22"/>
          <w:szCs w:val="22"/>
        </w:rPr>
        <w:t xml:space="preserve">PRESENTACIÓN Y APROBACIÓN, EN SU CASO, DE LA VERSIÓN PÚBLICA DE LA DECLARACIÓN DE SITUACIÓN PATRIMONIAL Y DE INTERÉS DE LOS TRABAJADORES DE LA SECRETARIA EJECUTIVA DEL SISTEMA, DICHAS DECLARACIONES PROPUESTAS POR EL ÓRGANO INTERNO DE CONTROL, PARA CUMPLIR CON LAS OBLIGACIONES DE TRANSPARENCIA, DE MANTENER ACTUALIZADA LA INFORMACIÓN FUNDAMENTAL QUE GENERA DICHA ÁREA.  </w:t>
      </w:r>
    </w:p>
    <w:p w14:paraId="7013F4AE" w14:textId="77777777" w:rsidR="00413ABC" w:rsidRPr="00433ECF" w:rsidRDefault="00413ABC" w:rsidP="00413ABC">
      <w:pPr>
        <w:pStyle w:val="Prrafodelista"/>
        <w:spacing w:line="256" w:lineRule="auto"/>
        <w:ind w:left="720"/>
        <w:contextualSpacing/>
        <w:rPr>
          <w:rFonts w:ascii="Arial" w:hAnsi="Arial" w:cs="Arial"/>
          <w:b/>
          <w:bCs/>
          <w:sz w:val="22"/>
          <w:szCs w:val="22"/>
        </w:rPr>
      </w:pPr>
    </w:p>
    <w:p w14:paraId="489E994B" w14:textId="3D72D7DB" w:rsidR="00413ABC" w:rsidRPr="00433ECF" w:rsidRDefault="00413ABC" w:rsidP="00413ABC">
      <w:pPr>
        <w:spacing w:after="160" w:line="256"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El secretario de este Comité expone que, el día 23 de abril del año 2021 el Dr. Israel García Iñiguez, Titular del Órgano Interno de Control, giró un oficio con la nomenclatura SESAJ/OIC/032/2021, dirigido a la Unidad de Transparencia en el que se solicita textualmente lo siguiente:</w:t>
      </w:r>
    </w:p>
    <w:p w14:paraId="076BA33F" w14:textId="437BB4AC" w:rsidR="00413ABC" w:rsidRPr="00433ECF" w:rsidRDefault="00413ABC" w:rsidP="00413ABC">
      <w:pPr>
        <w:jc w:val="both"/>
        <w:rPr>
          <w:rFonts w:ascii="Arial" w:hAnsi="Arial" w:cs="Arial"/>
          <w:sz w:val="22"/>
          <w:szCs w:val="22"/>
        </w:rPr>
      </w:pPr>
      <w:r w:rsidRPr="00433ECF">
        <w:rPr>
          <w:rFonts w:ascii="Arial" w:eastAsia="Times New Roman" w:hAnsi="Arial" w:cs="Arial"/>
          <w:i/>
          <w:color w:val="000000"/>
          <w:sz w:val="22"/>
          <w:szCs w:val="22"/>
          <w:lang w:val="es-ES"/>
        </w:rPr>
        <w:t>“</w:t>
      </w:r>
      <w:r w:rsidRPr="00433ECF">
        <w:rPr>
          <w:rFonts w:ascii="Arial" w:hAnsi="Arial" w:cs="Arial"/>
          <w:sz w:val="22"/>
          <w:szCs w:val="22"/>
        </w:rPr>
        <w:t xml:space="preserve">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solicitar sea sometida para su aprobación al Comité de Transparencia de éste Ente Público, las versiones públicas de las Declaraciones de Situación Patrimonial y de Intereses de la C. </w:t>
      </w:r>
      <w:r w:rsidR="00433ECF" w:rsidRPr="00433ECF">
        <w:rPr>
          <w:rFonts w:ascii="Arial" w:hAnsi="Arial" w:cs="Arial"/>
          <w:sz w:val="22"/>
          <w:szCs w:val="22"/>
        </w:rPr>
        <w:t>Diana Vera Álvarez.</w:t>
      </w:r>
    </w:p>
    <w:p w14:paraId="3AF22D8D" w14:textId="77777777" w:rsidR="00413ABC" w:rsidRPr="00433ECF" w:rsidRDefault="00413ABC" w:rsidP="00413ABC">
      <w:pPr>
        <w:jc w:val="both"/>
        <w:rPr>
          <w:rFonts w:ascii="Arial" w:eastAsiaTheme="minorHAnsi" w:hAnsi="Arial" w:cs="Arial"/>
          <w:sz w:val="22"/>
          <w:szCs w:val="22"/>
          <w:lang w:eastAsia="en-US"/>
        </w:rPr>
      </w:pPr>
    </w:p>
    <w:p w14:paraId="77CA54BC" w14:textId="3DAEB833" w:rsidR="00413ABC" w:rsidRDefault="00413ABC" w:rsidP="00413ABC">
      <w:pPr>
        <w:ind w:right="-39"/>
        <w:jc w:val="both"/>
        <w:rPr>
          <w:rFonts w:ascii="Arial" w:hAnsi="Arial" w:cs="Arial"/>
          <w:sz w:val="22"/>
          <w:szCs w:val="22"/>
        </w:rPr>
      </w:pPr>
      <w:r w:rsidRPr="00433ECF">
        <w:rPr>
          <w:rFonts w:ascii="Arial" w:hAnsi="Arial" w:cs="Arial"/>
          <w:sz w:val="22"/>
          <w:szCs w:val="22"/>
        </w:rPr>
        <w:t>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el Dr. Israel García Iñiguez, Titular del Órgano Interno de Control, remite la declaraci</w:t>
      </w:r>
      <w:r w:rsidR="00433ECF" w:rsidRPr="00433ECF">
        <w:rPr>
          <w:rFonts w:ascii="Arial" w:hAnsi="Arial" w:cs="Arial"/>
          <w:sz w:val="22"/>
          <w:szCs w:val="22"/>
        </w:rPr>
        <w:t>ó</w:t>
      </w:r>
      <w:r w:rsidRPr="00433ECF">
        <w:rPr>
          <w:rFonts w:ascii="Arial" w:hAnsi="Arial" w:cs="Arial"/>
          <w:sz w:val="22"/>
          <w:szCs w:val="22"/>
        </w:rPr>
        <w:t>n patrimonial</w:t>
      </w:r>
      <w:r w:rsidR="00433ECF" w:rsidRPr="00433ECF">
        <w:rPr>
          <w:rFonts w:ascii="Arial" w:hAnsi="Arial" w:cs="Arial"/>
          <w:sz w:val="22"/>
          <w:szCs w:val="22"/>
        </w:rPr>
        <w:t xml:space="preserve"> </w:t>
      </w:r>
      <w:r w:rsidRPr="00433ECF">
        <w:rPr>
          <w:rFonts w:ascii="Arial" w:hAnsi="Arial" w:cs="Arial"/>
          <w:sz w:val="22"/>
          <w:szCs w:val="22"/>
        </w:rPr>
        <w:t xml:space="preserve">inicial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las declaraciones patrimoniales presentadas por los trabajadores de la Secretaría Ejecutiva del Sistema Estatal Anticorrupción de Jalisco, se contienen datos personales que se mencionan  a continuación en la siguiente tabla: </w:t>
      </w:r>
    </w:p>
    <w:p w14:paraId="72DD50AB" w14:textId="77777777" w:rsidR="00060157" w:rsidRPr="00433ECF" w:rsidRDefault="00060157" w:rsidP="00413ABC">
      <w:pPr>
        <w:ind w:right="-39"/>
        <w:jc w:val="both"/>
        <w:rPr>
          <w:rFonts w:ascii="Arial" w:eastAsiaTheme="minorHAnsi" w:hAnsi="Arial" w:cs="Arial"/>
          <w:sz w:val="22"/>
          <w:szCs w:val="22"/>
          <w:lang w:eastAsia="en-US"/>
        </w:rPr>
      </w:pP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413ABC" w:rsidRPr="00433ECF" w14:paraId="65AF119B" w14:textId="77777777" w:rsidTr="00413ABC">
        <w:tc>
          <w:tcPr>
            <w:tcW w:w="3431" w:type="dxa"/>
            <w:tcBorders>
              <w:top w:val="single" w:sz="4" w:space="0" w:color="auto"/>
              <w:left w:val="single" w:sz="4" w:space="0" w:color="auto"/>
              <w:bottom w:val="single" w:sz="4" w:space="0" w:color="auto"/>
              <w:right w:val="single" w:sz="4" w:space="0" w:color="auto"/>
            </w:tcBorders>
            <w:hideMark/>
          </w:tcPr>
          <w:p w14:paraId="28219A52" w14:textId="77777777" w:rsidR="00413ABC" w:rsidRPr="00433ECF" w:rsidRDefault="00413ABC">
            <w:pPr>
              <w:tabs>
                <w:tab w:val="left" w:pos="5080"/>
              </w:tabs>
              <w:ind w:right="-39"/>
              <w:jc w:val="both"/>
              <w:rPr>
                <w:rFonts w:ascii="Arial" w:eastAsiaTheme="minorHAnsi" w:hAnsi="Arial" w:cs="Arial"/>
                <w:b/>
                <w:sz w:val="22"/>
                <w:szCs w:val="22"/>
                <w:lang w:eastAsia="en-US"/>
              </w:rPr>
            </w:pPr>
            <w:r w:rsidRPr="00433ECF">
              <w:rPr>
                <w:rFonts w:ascii="Arial" w:hAnsi="Arial" w:cs="Arial"/>
                <w:b/>
                <w:sz w:val="22"/>
                <w:szCs w:val="22"/>
              </w:rPr>
              <w:lastRenderedPageBreak/>
              <w:t>Documento</w:t>
            </w:r>
          </w:p>
        </w:tc>
        <w:tc>
          <w:tcPr>
            <w:tcW w:w="2949" w:type="dxa"/>
            <w:tcBorders>
              <w:top w:val="single" w:sz="4" w:space="0" w:color="auto"/>
              <w:left w:val="single" w:sz="4" w:space="0" w:color="auto"/>
              <w:bottom w:val="single" w:sz="4" w:space="0" w:color="auto"/>
              <w:right w:val="single" w:sz="4" w:space="0" w:color="auto"/>
            </w:tcBorders>
            <w:hideMark/>
          </w:tcPr>
          <w:p w14:paraId="2C2A1687" w14:textId="77777777" w:rsidR="00413ABC" w:rsidRPr="00433ECF" w:rsidRDefault="00413ABC">
            <w:pPr>
              <w:tabs>
                <w:tab w:val="left" w:pos="5080"/>
              </w:tabs>
              <w:ind w:right="-39"/>
              <w:jc w:val="both"/>
              <w:rPr>
                <w:rFonts w:ascii="Arial" w:hAnsi="Arial" w:cs="Arial"/>
                <w:b/>
                <w:sz w:val="22"/>
                <w:szCs w:val="22"/>
              </w:rPr>
            </w:pPr>
            <w:r w:rsidRPr="00433ECF">
              <w:rPr>
                <w:rFonts w:ascii="Arial" w:hAnsi="Arial" w:cs="Arial"/>
                <w:b/>
                <w:sz w:val="22"/>
                <w:szCs w:val="22"/>
              </w:rPr>
              <w:t>Dato Personal Contenido</w:t>
            </w:r>
          </w:p>
        </w:tc>
      </w:tr>
      <w:tr w:rsidR="00413ABC" w:rsidRPr="00433ECF" w14:paraId="098DD692" w14:textId="77777777" w:rsidTr="00413ABC">
        <w:tc>
          <w:tcPr>
            <w:tcW w:w="3431" w:type="dxa"/>
            <w:vMerge w:val="restart"/>
            <w:tcBorders>
              <w:top w:val="single" w:sz="4" w:space="0" w:color="auto"/>
              <w:left w:val="single" w:sz="4" w:space="0" w:color="auto"/>
              <w:bottom w:val="single" w:sz="4" w:space="0" w:color="auto"/>
              <w:right w:val="single" w:sz="4" w:space="0" w:color="auto"/>
            </w:tcBorders>
            <w:hideMark/>
          </w:tcPr>
          <w:p w14:paraId="08435BFA" w14:textId="77777777" w:rsidR="00413ABC" w:rsidRPr="00433ECF" w:rsidRDefault="00413ABC">
            <w:pPr>
              <w:tabs>
                <w:tab w:val="left" w:pos="5080"/>
              </w:tabs>
              <w:ind w:right="-39"/>
              <w:jc w:val="both"/>
              <w:rPr>
                <w:rFonts w:ascii="Arial" w:hAnsi="Arial" w:cs="Arial"/>
                <w:sz w:val="22"/>
                <w:szCs w:val="22"/>
              </w:rPr>
            </w:pPr>
            <w:r w:rsidRPr="00433ECF">
              <w:rPr>
                <w:rFonts w:ascii="Arial" w:hAnsi="Arial" w:cs="Arial"/>
                <w:sz w:val="22"/>
                <w:szCs w:val="22"/>
              </w:rPr>
              <w:t>Declaración Patrimonial</w:t>
            </w:r>
          </w:p>
        </w:tc>
        <w:tc>
          <w:tcPr>
            <w:tcW w:w="2949" w:type="dxa"/>
            <w:tcBorders>
              <w:top w:val="single" w:sz="4" w:space="0" w:color="auto"/>
              <w:left w:val="single" w:sz="4" w:space="0" w:color="auto"/>
              <w:bottom w:val="single" w:sz="4" w:space="0" w:color="auto"/>
              <w:right w:val="single" w:sz="4" w:space="0" w:color="auto"/>
            </w:tcBorders>
            <w:hideMark/>
          </w:tcPr>
          <w:p w14:paraId="1B2C322E" w14:textId="77777777" w:rsidR="00413ABC" w:rsidRPr="00433ECF" w:rsidRDefault="00413ABC">
            <w:pPr>
              <w:tabs>
                <w:tab w:val="left" w:pos="5080"/>
              </w:tabs>
              <w:ind w:right="-39"/>
              <w:jc w:val="both"/>
              <w:rPr>
                <w:rFonts w:ascii="Arial" w:hAnsi="Arial" w:cs="Arial"/>
                <w:sz w:val="22"/>
                <w:szCs w:val="22"/>
              </w:rPr>
            </w:pPr>
            <w:r w:rsidRPr="00433ECF">
              <w:rPr>
                <w:rFonts w:ascii="Arial" w:hAnsi="Arial" w:cs="Arial"/>
                <w:i/>
                <w:sz w:val="22"/>
                <w:szCs w:val="22"/>
              </w:rPr>
              <w:t>CURP</w:t>
            </w:r>
          </w:p>
        </w:tc>
      </w:tr>
      <w:tr w:rsidR="00413ABC" w:rsidRPr="00433ECF" w14:paraId="144CBDB1"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216D59EF"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7B1FF6D2" w14:textId="77777777" w:rsidR="00413ABC" w:rsidRPr="00433ECF" w:rsidRDefault="00413ABC">
            <w:pPr>
              <w:tabs>
                <w:tab w:val="left" w:pos="5080"/>
              </w:tabs>
              <w:ind w:right="-39"/>
              <w:jc w:val="both"/>
              <w:rPr>
                <w:rFonts w:ascii="Arial" w:hAnsi="Arial" w:cs="Arial"/>
                <w:i/>
                <w:sz w:val="22"/>
                <w:szCs w:val="22"/>
              </w:rPr>
            </w:pPr>
            <w:r w:rsidRPr="00433ECF">
              <w:rPr>
                <w:rFonts w:ascii="Arial" w:hAnsi="Arial" w:cs="Arial"/>
                <w:i/>
                <w:sz w:val="22"/>
                <w:szCs w:val="22"/>
              </w:rPr>
              <w:t>RFC/</w:t>
            </w:r>
            <w:proofErr w:type="spellStart"/>
            <w:r w:rsidRPr="00433ECF">
              <w:rPr>
                <w:rFonts w:ascii="Arial" w:hAnsi="Arial" w:cs="Arial"/>
                <w:i/>
                <w:sz w:val="22"/>
                <w:szCs w:val="22"/>
              </w:rPr>
              <w:t>Homoclave</w:t>
            </w:r>
            <w:proofErr w:type="spellEnd"/>
          </w:p>
        </w:tc>
      </w:tr>
      <w:tr w:rsidR="00413ABC" w:rsidRPr="00433ECF" w14:paraId="316E28F2"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5F15FC40"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97B11FE" w14:textId="77777777" w:rsidR="00413ABC" w:rsidRPr="00433ECF" w:rsidRDefault="00413ABC">
            <w:pPr>
              <w:tabs>
                <w:tab w:val="left" w:pos="5080"/>
              </w:tabs>
              <w:ind w:right="-39"/>
              <w:jc w:val="both"/>
              <w:rPr>
                <w:rFonts w:ascii="Arial" w:hAnsi="Arial" w:cs="Arial"/>
                <w:i/>
                <w:sz w:val="22"/>
                <w:szCs w:val="22"/>
              </w:rPr>
            </w:pPr>
            <w:r w:rsidRPr="00433ECF">
              <w:rPr>
                <w:rFonts w:ascii="Arial" w:eastAsia="Times New Roman" w:hAnsi="Arial" w:cs="Arial"/>
                <w:i/>
                <w:sz w:val="22"/>
                <w:szCs w:val="22"/>
                <w:lang w:val="es-ES"/>
              </w:rPr>
              <w:t>Correo electrónico personal</w:t>
            </w:r>
          </w:p>
        </w:tc>
      </w:tr>
      <w:tr w:rsidR="00413ABC" w:rsidRPr="00433ECF" w14:paraId="493BE76D"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A25A66D"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16E8D9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Estado civil</w:t>
            </w:r>
          </w:p>
        </w:tc>
      </w:tr>
      <w:tr w:rsidR="00413ABC" w:rsidRPr="00433ECF" w14:paraId="7DB67ED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1A2A1232"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5B08DA95"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Régimen matrimonial</w:t>
            </w:r>
          </w:p>
        </w:tc>
      </w:tr>
      <w:tr w:rsidR="00413ABC" w:rsidRPr="00433ECF" w14:paraId="4DF5AEB9"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5D2CC97B"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1A3A69B3"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País donde nació</w:t>
            </w:r>
          </w:p>
        </w:tc>
      </w:tr>
      <w:tr w:rsidR="00413ABC" w:rsidRPr="00433ECF" w14:paraId="3F1AD5D7"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53CDFF9"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B693B75"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Nacionalidad</w:t>
            </w:r>
          </w:p>
        </w:tc>
      </w:tr>
      <w:tr w:rsidR="00413ABC" w:rsidRPr="00433ECF" w14:paraId="64F14860"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038A66F6"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F9C9447"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Entidad donde nació</w:t>
            </w:r>
          </w:p>
        </w:tc>
      </w:tr>
      <w:tr w:rsidR="00413ABC" w:rsidRPr="00433ECF" w14:paraId="11CAAFE8"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177269F6"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1B57C91A"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Número de celular</w:t>
            </w:r>
          </w:p>
        </w:tc>
      </w:tr>
      <w:tr w:rsidR="00413ABC" w:rsidRPr="00433ECF" w14:paraId="4B91E1E0"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27CB195F"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35990CEE"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Lugar donde se ubica</w:t>
            </w:r>
          </w:p>
        </w:tc>
      </w:tr>
      <w:tr w:rsidR="00413ABC" w:rsidRPr="00433ECF" w14:paraId="07FC595E"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369318EE"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4303209"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Domicilio particular</w:t>
            </w:r>
          </w:p>
        </w:tc>
      </w:tr>
      <w:tr w:rsidR="00413ABC" w:rsidRPr="00433ECF" w14:paraId="1005431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76FD134F"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65DAA553"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Localidad o colonia</w:t>
            </w:r>
          </w:p>
        </w:tc>
      </w:tr>
      <w:tr w:rsidR="00413ABC" w:rsidRPr="00433ECF" w14:paraId="27E9A87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34EB65FB"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5B4107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Entidad federativa</w:t>
            </w:r>
          </w:p>
        </w:tc>
      </w:tr>
      <w:tr w:rsidR="00413ABC" w:rsidRPr="00433ECF" w14:paraId="76FB3BBB"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49F085EB"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2B4E540D"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Municipio o alcaldía</w:t>
            </w:r>
          </w:p>
        </w:tc>
      </w:tr>
      <w:tr w:rsidR="00413ABC" w:rsidRPr="00433ECF" w14:paraId="11D7360C"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1F2F59F0"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769A2054"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Código postal</w:t>
            </w:r>
          </w:p>
        </w:tc>
      </w:tr>
      <w:tr w:rsidR="00413ABC" w:rsidRPr="00433ECF" w14:paraId="4AA70F2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084123D5"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6086211"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Teléfono particular</w:t>
            </w:r>
          </w:p>
        </w:tc>
      </w:tr>
      <w:tr w:rsidR="00413ABC" w:rsidRPr="00433ECF" w14:paraId="10F6A4A4"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05FD1101"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588211ED"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Nombre de terceros</w:t>
            </w:r>
          </w:p>
        </w:tc>
      </w:tr>
      <w:tr w:rsidR="00413ABC" w:rsidRPr="00433ECF" w14:paraId="7698E7D5"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116DE80"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4562B3C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Parentesco</w:t>
            </w:r>
          </w:p>
        </w:tc>
      </w:tr>
      <w:tr w:rsidR="00413ABC" w:rsidRPr="00433ECF" w14:paraId="7C4CCE66" w14:textId="77777777" w:rsidTr="00413ABC">
        <w:tc>
          <w:tcPr>
            <w:tcW w:w="0" w:type="auto"/>
            <w:vMerge/>
            <w:tcBorders>
              <w:top w:val="single" w:sz="4" w:space="0" w:color="auto"/>
              <w:left w:val="single" w:sz="4" w:space="0" w:color="auto"/>
              <w:bottom w:val="single" w:sz="4" w:space="0" w:color="auto"/>
              <w:right w:val="single" w:sz="4" w:space="0" w:color="auto"/>
            </w:tcBorders>
            <w:vAlign w:val="center"/>
            <w:hideMark/>
          </w:tcPr>
          <w:p w14:paraId="6302DC33" w14:textId="77777777" w:rsidR="00413ABC" w:rsidRPr="00433ECF" w:rsidRDefault="00413ABC">
            <w:pPr>
              <w:rPr>
                <w:rFonts w:ascii="Arial" w:hAnsi="Arial" w:cs="Arial"/>
                <w:sz w:val="22"/>
                <w:szCs w:val="22"/>
              </w:rPr>
            </w:pPr>
          </w:p>
        </w:tc>
        <w:tc>
          <w:tcPr>
            <w:tcW w:w="2949" w:type="dxa"/>
            <w:tcBorders>
              <w:top w:val="single" w:sz="4" w:space="0" w:color="auto"/>
              <w:left w:val="single" w:sz="4" w:space="0" w:color="auto"/>
              <w:bottom w:val="single" w:sz="4" w:space="0" w:color="auto"/>
              <w:right w:val="single" w:sz="4" w:space="0" w:color="auto"/>
            </w:tcBorders>
            <w:hideMark/>
          </w:tcPr>
          <w:p w14:paraId="7FC67A3F" w14:textId="77777777" w:rsidR="00413ABC" w:rsidRPr="00433ECF" w:rsidRDefault="00413ABC">
            <w:pPr>
              <w:tabs>
                <w:tab w:val="left" w:pos="5080"/>
              </w:tabs>
              <w:ind w:right="-39"/>
              <w:jc w:val="both"/>
              <w:rPr>
                <w:rFonts w:ascii="Arial" w:eastAsia="Times New Roman" w:hAnsi="Arial" w:cs="Arial"/>
                <w:i/>
                <w:sz w:val="22"/>
                <w:szCs w:val="22"/>
                <w:lang w:val="es-ES"/>
              </w:rPr>
            </w:pPr>
            <w:r w:rsidRPr="00433ECF">
              <w:rPr>
                <w:rFonts w:ascii="Arial" w:eastAsia="Times New Roman" w:hAnsi="Arial" w:cs="Arial"/>
                <w:i/>
                <w:sz w:val="22"/>
                <w:szCs w:val="22"/>
                <w:lang w:val="es-ES"/>
              </w:rPr>
              <w:t>Dependientes económicos</w:t>
            </w:r>
          </w:p>
        </w:tc>
      </w:tr>
    </w:tbl>
    <w:p w14:paraId="299727A7" w14:textId="77777777" w:rsidR="00413ABC" w:rsidRPr="00433ECF" w:rsidRDefault="00413ABC" w:rsidP="00413ABC">
      <w:pPr>
        <w:tabs>
          <w:tab w:val="left" w:pos="5080"/>
        </w:tabs>
        <w:spacing w:after="160" w:line="256" w:lineRule="auto"/>
        <w:ind w:right="-39"/>
        <w:jc w:val="both"/>
        <w:rPr>
          <w:rFonts w:ascii="Arial" w:eastAsia="Calibri" w:hAnsi="Arial" w:cs="Arial"/>
          <w:sz w:val="22"/>
          <w:szCs w:val="22"/>
          <w:lang w:val="es-MX" w:eastAsia="en-US"/>
        </w:rPr>
      </w:pPr>
    </w:p>
    <w:p w14:paraId="26D8EA3E"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A9F0551"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19BE87D"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532EB1D"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D727A00"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BBF09E5"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AEB835C"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81B5349"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B5702E3"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79B5323"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24548754"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0184E34"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CA25BF5"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FDBD0D5"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74DAA1A"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1B0C579"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2DAE0E02"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316CE548"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1FF5E29"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7D66099"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4804D049"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46C42E0E" w14:textId="77777777" w:rsidR="00060157" w:rsidRDefault="00060157"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7EBA442" w14:textId="7BB76C57" w:rsidR="00413ABC" w:rsidRPr="00433ECF" w:rsidRDefault="00413ABC" w:rsidP="00413ABC">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433ECF">
        <w:rPr>
          <w:rFonts w:ascii="Arial" w:eastAsia="Calibri" w:hAnsi="Arial" w:cs="Arial"/>
          <w:sz w:val="22"/>
          <w:szCs w:val="22"/>
          <w:lang w:val="es-MX" w:eastAsia="en-US"/>
        </w:rPr>
        <w:t>Analizado lo anterior, y como se desprende de lo relacionado con antelación, toda vez</w:t>
      </w:r>
      <w:r w:rsidRPr="00433ECF">
        <w:rPr>
          <w:rFonts w:ascii="Arial" w:eastAsia="Times New Roman" w:hAnsi="Arial" w:cs="Arial"/>
          <w:sz w:val="22"/>
          <w:szCs w:val="22"/>
          <w:lang w:val="es-ES"/>
        </w:rPr>
        <w:t xml:space="preserve"> que los documentos antes señalado,</w:t>
      </w:r>
      <w:r w:rsidRPr="00433ECF">
        <w:rPr>
          <w:rFonts w:ascii="Arial" w:eastAsia="Calibri" w:hAnsi="Arial" w:cs="Arial"/>
          <w:color w:val="000000"/>
          <w:sz w:val="22"/>
          <w:szCs w:val="22"/>
          <w:lang w:val="es-MX" w:eastAsia="en-US"/>
        </w:rPr>
        <w:t xml:space="preserve"> contienen datos personales, catalogados como tales, por el artículo 3 fracción IX y X </w:t>
      </w:r>
      <w:r w:rsidRPr="00433ECF">
        <w:rPr>
          <w:rFonts w:ascii="Arial" w:eastAsia="Calibri" w:hAnsi="Arial" w:cs="Arial"/>
          <w:sz w:val="22"/>
          <w:szCs w:val="22"/>
          <w:lang w:val="es-MX" w:eastAsia="en-US"/>
        </w:rPr>
        <w:t>de la Ley que rige la materia,</w:t>
      </w:r>
      <w:r w:rsidRPr="00433ECF">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433ECF">
        <w:rPr>
          <w:rFonts w:ascii="Arial" w:eastAsia="Calibri" w:hAnsi="Arial" w:cs="Arial"/>
          <w:sz w:val="22"/>
          <w:szCs w:val="22"/>
          <w:lang w:val="es-MX" w:eastAsia="en-US"/>
        </w:rPr>
        <w:t>, en su fracción I, por tratarse de datos personales identificativos</w:t>
      </w:r>
      <w:r w:rsidRPr="00433ECF">
        <w:rPr>
          <w:rFonts w:ascii="Arial" w:eastAsia="Calibri" w:hAnsi="Arial" w:cs="Arial"/>
          <w:color w:val="000000"/>
          <w:sz w:val="22"/>
          <w:szCs w:val="22"/>
          <w:lang w:val="es-MX" w:eastAsia="en-US"/>
        </w:rPr>
        <w:t xml:space="preserve">, </w:t>
      </w:r>
      <w:r w:rsidRPr="00433ECF">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433ECF">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433ECF">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26097722" w14:textId="77777777" w:rsidR="00413ABC" w:rsidRPr="00433ECF" w:rsidRDefault="00413ABC" w:rsidP="00413ABC">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42C1044" w14:textId="5C382E86" w:rsidR="00413ABC" w:rsidRPr="00433ECF" w:rsidRDefault="00413ABC" w:rsidP="00413ABC">
      <w:pPr>
        <w:spacing w:after="160" w:line="254"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Es así </w:t>
      </w:r>
      <w:proofErr w:type="gramStart"/>
      <w:r w:rsidRPr="00433ECF">
        <w:rPr>
          <w:rFonts w:ascii="Arial" w:eastAsia="Calibri" w:hAnsi="Arial" w:cs="Arial"/>
          <w:sz w:val="22"/>
          <w:szCs w:val="22"/>
          <w:lang w:val="es-MX" w:eastAsia="en-US"/>
        </w:rPr>
        <w:t>que</w:t>
      </w:r>
      <w:proofErr w:type="gramEnd"/>
      <w:r w:rsidRPr="00433ECF">
        <w:rPr>
          <w:rFonts w:ascii="Arial" w:eastAsia="Calibri" w:hAnsi="Arial" w:cs="Arial"/>
          <w:sz w:val="22"/>
          <w:szCs w:val="22"/>
          <w:lang w:val="es-MX" w:eastAsia="en-US"/>
        </w:rPr>
        <w:t xml:space="preserve"> después de analizar la versi</w:t>
      </w:r>
      <w:r w:rsidR="00433ECF" w:rsidRPr="00433ECF">
        <w:rPr>
          <w:rFonts w:ascii="Arial" w:eastAsia="Calibri" w:hAnsi="Arial" w:cs="Arial"/>
          <w:sz w:val="22"/>
          <w:szCs w:val="22"/>
          <w:lang w:val="es-MX" w:eastAsia="en-US"/>
        </w:rPr>
        <w:t>ó</w:t>
      </w:r>
      <w:r w:rsidRPr="00433ECF">
        <w:rPr>
          <w:rFonts w:ascii="Arial" w:eastAsia="Calibri" w:hAnsi="Arial" w:cs="Arial"/>
          <w:sz w:val="22"/>
          <w:szCs w:val="22"/>
          <w:lang w:val="es-MX" w:eastAsia="en-US"/>
        </w:rPr>
        <w:t>n pública de la declaraci</w:t>
      </w:r>
      <w:r w:rsidR="00433ECF" w:rsidRPr="00433ECF">
        <w:rPr>
          <w:rFonts w:ascii="Arial" w:eastAsia="Calibri" w:hAnsi="Arial" w:cs="Arial"/>
          <w:sz w:val="22"/>
          <w:szCs w:val="22"/>
          <w:lang w:val="es-MX" w:eastAsia="en-US"/>
        </w:rPr>
        <w:t>ó</w:t>
      </w:r>
      <w:r w:rsidRPr="00433ECF">
        <w:rPr>
          <w:rFonts w:ascii="Arial" w:eastAsia="Calibri" w:hAnsi="Arial" w:cs="Arial"/>
          <w:sz w:val="22"/>
          <w:szCs w:val="22"/>
          <w:lang w:val="es-MX" w:eastAsia="en-US"/>
        </w:rPr>
        <w:t>n patrimonial, se somete a votación para la aprobación de las mismas, la cual arrojó un total de tres votos a favor.</w:t>
      </w:r>
    </w:p>
    <w:p w14:paraId="3978F465" w14:textId="77777777" w:rsidR="00413ABC" w:rsidRPr="00433ECF" w:rsidRDefault="00413ABC" w:rsidP="00413ABC">
      <w:pPr>
        <w:spacing w:after="160" w:line="254" w:lineRule="auto"/>
        <w:ind w:right="-39"/>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Y en base a lo anteriormente expuesto, se acuerda lo siguiente:</w:t>
      </w:r>
    </w:p>
    <w:p w14:paraId="6EBD6BB3" w14:textId="77777777" w:rsidR="00433ECF" w:rsidRPr="00433ECF" w:rsidRDefault="00433ECF" w:rsidP="00413ABC">
      <w:pPr>
        <w:spacing w:after="160" w:line="254" w:lineRule="auto"/>
        <w:ind w:left="426" w:right="1134" w:firstLine="708"/>
        <w:jc w:val="both"/>
        <w:rPr>
          <w:rFonts w:ascii="Arial" w:eastAsia="Calibri" w:hAnsi="Arial" w:cs="Arial"/>
          <w:b/>
          <w:i/>
          <w:sz w:val="22"/>
          <w:szCs w:val="22"/>
          <w:u w:val="single"/>
          <w:lang w:val="es-MX" w:eastAsia="en-US"/>
        </w:rPr>
      </w:pPr>
    </w:p>
    <w:p w14:paraId="60BECFCD" w14:textId="77777777" w:rsidR="00060157" w:rsidRDefault="00060157" w:rsidP="00413ABC">
      <w:pPr>
        <w:spacing w:after="160" w:line="254" w:lineRule="auto"/>
        <w:ind w:left="426" w:right="1134" w:firstLine="708"/>
        <w:jc w:val="both"/>
        <w:rPr>
          <w:rFonts w:ascii="Arial" w:eastAsia="Calibri" w:hAnsi="Arial" w:cs="Arial"/>
          <w:b/>
          <w:i/>
          <w:sz w:val="22"/>
          <w:szCs w:val="22"/>
          <w:u w:val="single"/>
          <w:lang w:val="es-MX" w:eastAsia="en-US"/>
        </w:rPr>
      </w:pPr>
    </w:p>
    <w:p w14:paraId="76AF2E6B" w14:textId="6F27B104" w:rsidR="00413ABC" w:rsidRPr="00433ECF" w:rsidRDefault="00413ABC" w:rsidP="00413ABC">
      <w:pPr>
        <w:spacing w:after="160" w:line="254"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ACU/SESEAJ/CT/0</w:t>
      </w:r>
      <w:r w:rsidR="00433ECF" w:rsidRPr="00433ECF">
        <w:rPr>
          <w:rFonts w:ascii="Arial" w:eastAsia="Calibri" w:hAnsi="Arial" w:cs="Arial"/>
          <w:b/>
          <w:i/>
          <w:sz w:val="22"/>
          <w:szCs w:val="22"/>
          <w:u w:val="single"/>
          <w:lang w:val="es-MX" w:eastAsia="en-US"/>
        </w:rPr>
        <w:t>7</w:t>
      </w:r>
      <w:r w:rsidRPr="00433ECF">
        <w:rPr>
          <w:rFonts w:ascii="Arial" w:eastAsia="Calibri" w:hAnsi="Arial" w:cs="Arial"/>
          <w:b/>
          <w:i/>
          <w:sz w:val="22"/>
          <w:szCs w:val="22"/>
          <w:u w:val="single"/>
          <w:lang w:val="es-MX" w:eastAsia="en-US"/>
        </w:rPr>
        <w:t>/2021</w:t>
      </w:r>
    </w:p>
    <w:p w14:paraId="3EDBF843" w14:textId="65A4A3FA" w:rsidR="000B332A" w:rsidRDefault="00413ABC" w:rsidP="000B332A">
      <w:pPr>
        <w:spacing w:after="160" w:line="254" w:lineRule="auto"/>
        <w:ind w:left="1134" w:right="1134"/>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
          <w:i/>
          <w:sz w:val="22"/>
          <w:szCs w:val="22"/>
          <w:lang w:val="es-MX" w:eastAsia="en-US"/>
        </w:rPr>
        <w:t>Se confirma la elaboración de la versi</w:t>
      </w:r>
      <w:r w:rsidR="00433ECF" w:rsidRPr="00433ECF">
        <w:rPr>
          <w:rFonts w:ascii="Arial" w:eastAsia="Calibri" w:hAnsi="Arial" w:cs="Arial"/>
          <w:b/>
          <w:i/>
          <w:sz w:val="22"/>
          <w:szCs w:val="22"/>
          <w:lang w:val="es-MX" w:eastAsia="en-US"/>
        </w:rPr>
        <w:t>ó</w:t>
      </w:r>
      <w:r w:rsidRPr="00433ECF">
        <w:rPr>
          <w:rFonts w:ascii="Arial" w:eastAsia="Calibri" w:hAnsi="Arial" w:cs="Arial"/>
          <w:b/>
          <w:i/>
          <w:sz w:val="22"/>
          <w:szCs w:val="22"/>
          <w:lang w:val="es-MX" w:eastAsia="en-US"/>
        </w:rPr>
        <w:t xml:space="preserve">n pública de situación patrimonial y de interés iniciales de </w:t>
      </w:r>
      <w:r w:rsidR="00433ECF" w:rsidRPr="00433ECF">
        <w:rPr>
          <w:rFonts w:ascii="Arial" w:eastAsia="Calibri" w:hAnsi="Arial" w:cs="Arial"/>
          <w:b/>
          <w:i/>
          <w:sz w:val="22"/>
          <w:szCs w:val="22"/>
          <w:lang w:val="es-MX" w:eastAsia="en-US"/>
        </w:rPr>
        <w:t>la C.</w:t>
      </w:r>
      <w:r w:rsidRPr="00433ECF">
        <w:rPr>
          <w:rFonts w:ascii="Arial" w:eastAsia="Calibri" w:hAnsi="Arial" w:cs="Arial"/>
          <w:b/>
          <w:i/>
          <w:sz w:val="22"/>
          <w:szCs w:val="22"/>
          <w:lang w:val="es-MX" w:eastAsia="en-US"/>
        </w:rPr>
        <w:t xml:space="preserve"> </w:t>
      </w:r>
      <w:r w:rsidR="00433ECF" w:rsidRPr="00433ECF">
        <w:rPr>
          <w:rFonts w:ascii="Arial" w:eastAsia="Calibri" w:hAnsi="Arial" w:cs="Arial"/>
          <w:b/>
          <w:i/>
          <w:sz w:val="22"/>
          <w:szCs w:val="22"/>
          <w:lang w:val="es-MX" w:eastAsia="en-US"/>
        </w:rPr>
        <w:t>Diana Vera Álvarez personal</w:t>
      </w:r>
      <w:r w:rsidRPr="00433ECF">
        <w:rPr>
          <w:rFonts w:ascii="Arial" w:eastAsia="Calibri" w:hAnsi="Arial" w:cs="Arial"/>
          <w:b/>
          <w:i/>
          <w:sz w:val="22"/>
          <w:szCs w:val="22"/>
          <w:lang w:val="es-MX" w:eastAsia="en-US"/>
        </w:rPr>
        <w:t xml:space="preserve"> de la Secretaría Ejecutiva del Sistema Estatal Anticorrupción de Jalisco, </w:t>
      </w:r>
      <w:r w:rsidRPr="00433ECF">
        <w:rPr>
          <w:rFonts w:ascii="Arial" w:eastAsia="Calibri" w:hAnsi="Arial" w:cs="Arial"/>
          <w:i/>
          <w:sz w:val="22"/>
          <w:szCs w:val="22"/>
          <w:lang w:val="es-MX" w:eastAsia="en-US"/>
        </w:rPr>
        <w:t xml:space="preserve">realizadas por el  Órgano Interno de Control y por la Unidad de Transparencia de esta Secretaría Ejecutiva del Sistema Estatal Anticorrupción de Jalisco, por la que determinaron como datos personales: </w:t>
      </w:r>
      <w:r w:rsidRPr="00433ECF">
        <w:rPr>
          <w:rFonts w:ascii="Arial" w:eastAsia="Calibri" w:hAnsi="Arial" w:cs="Arial"/>
          <w:b/>
          <w:i/>
          <w:sz w:val="22"/>
          <w:szCs w:val="22"/>
          <w:lang w:val="es-MX" w:eastAsia="en-US"/>
        </w:rPr>
        <w:t>CURP, RFC/</w:t>
      </w:r>
      <w:proofErr w:type="spellStart"/>
      <w:r w:rsidRPr="00433ECF">
        <w:rPr>
          <w:rFonts w:ascii="Arial" w:eastAsia="Calibri" w:hAnsi="Arial" w:cs="Arial"/>
          <w:b/>
          <w:i/>
          <w:sz w:val="22"/>
          <w:szCs w:val="22"/>
          <w:lang w:val="es-MX" w:eastAsia="en-US"/>
        </w:rPr>
        <w:t>Homoclave</w:t>
      </w:r>
      <w:proofErr w:type="spellEnd"/>
      <w:r w:rsidRPr="00433ECF">
        <w:rPr>
          <w:rFonts w:ascii="Arial" w:eastAsia="Times New Roman" w:hAnsi="Arial" w:cs="Arial"/>
          <w:i/>
          <w:sz w:val="22"/>
          <w:szCs w:val="22"/>
          <w:lang w:val="es-ES"/>
        </w:rPr>
        <w:t xml:space="preserve">, </w:t>
      </w:r>
      <w:r w:rsidRPr="00433ECF">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433ECF">
        <w:rPr>
          <w:rFonts w:ascii="Arial" w:eastAsia="Times New Roman" w:hAnsi="Arial" w:cs="Arial"/>
          <w:i/>
          <w:sz w:val="22"/>
          <w:szCs w:val="22"/>
          <w:lang w:val="es-ES"/>
        </w:rPr>
        <w:t xml:space="preserve"> </w:t>
      </w:r>
      <w:r w:rsidRPr="00433ECF">
        <w:rPr>
          <w:rFonts w:ascii="Arial" w:eastAsia="Calibri" w:hAnsi="Arial" w:cs="Arial"/>
          <w:i/>
          <w:sz w:val="22"/>
          <w:szCs w:val="22"/>
          <w:lang w:val="es-MX" w:eastAsia="en-US"/>
        </w:rPr>
        <w:t>contenidos éstos en  las declaraciones patrimoniales”.</w:t>
      </w:r>
    </w:p>
    <w:p w14:paraId="7833A7A7" w14:textId="77777777" w:rsidR="00426C99" w:rsidRDefault="00426C99" w:rsidP="000B332A">
      <w:pPr>
        <w:spacing w:after="160" w:line="254" w:lineRule="auto"/>
        <w:ind w:left="1134" w:right="1134"/>
        <w:jc w:val="both"/>
        <w:rPr>
          <w:rFonts w:ascii="Arial" w:eastAsia="Calibri" w:hAnsi="Arial" w:cs="Arial"/>
          <w:i/>
          <w:sz w:val="22"/>
          <w:szCs w:val="22"/>
          <w:lang w:val="es-MX" w:eastAsia="en-US"/>
        </w:rPr>
      </w:pPr>
    </w:p>
    <w:p w14:paraId="47D81124" w14:textId="6BA820DF" w:rsidR="002B237E" w:rsidRPr="00426C99" w:rsidRDefault="00426C99" w:rsidP="003D71B0">
      <w:pPr>
        <w:spacing w:after="160" w:line="254" w:lineRule="auto"/>
        <w:ind w:right="48"/>
        <w:jc w:val="both"/>
        <w:rPr>
          <w:rFonts w:ascii="Arial" w:eastAsia="Calibri" w:hAnsi="Arial" w:cs="Arial"/>
          <w:iCs/>
          <w:sz w:val="22"/>
          <w:szCs w:val="22"/>
          <w:lang w:val="es-MX" w:eastAsia="en-US"/>
        </w:rPr>
      </w:pPr>
      <w:r>
        <w:rPr>
          <w:rFonts w:ascii="Arial" w:eastAsia="Calibri" w:hAnsi="Arial" w:cs="Arial"/>
          <w:iCs/>
          <w:sz w:val="22"/>
          <w:szCs w:val="22"/>
          <w:lang w:val="es-MX" w:eastAsia="en-US"/>
        </w:rPr>
        <w:t xml:space="preserve">La presidenta del Comité de </w:t>
      </w:r>
      <w:r w:rsidR="00536E1F">
        <w:rPr>
          <w:rFonts w:ascii="Arial" w:eastAsia="Calibri" w:hAnsi="Arial" w:cs="Arial"/>
          <w:iCs/>
          <w:sz w:val="22"/>
          <w:szCs w:val="22"/>
          <w:lang w:val="es-MX" w:eastAsia="en-US"/>
        </w:rPr>
        <w:t>Transparencia</w:t>
      </w:r>
      <w:r>
        <w:rPr>
          <w:rFonts w:ascii="Arial" w:eastAsia="Calibri" w:hAnsi="Arial" w:cs="Arial"/>
          <w:iCs/>
          <w:sz w:val="22"/>
          <w:szCs w:val="22"/>
          <w:lang w:val="es-MX" w:eastAsia="en-US"/>
        </w:rPr>
        <w:t xml:space="preserve"> pide uso de la voz,</w:t>
      </w:r>
      <w:r w:rsidR="004A7E06">
        <w:rPr>
          <w:rFonts w:ascii="Arial" w:eastAsia="Calibri" w:hAnsi="Arial" w:cs="Arial"/>
          <w:iCs/>
          <w:sz w:val="22"/>
          <w:szCs w:val="22"/>
          <w:lang w:val="es-MX" w:eastAsia="en-US"/>
        </w:rPr>
        <w:t xml:space="preserve"> para </w:t>
      </w:r>
      <w:r w:rsidR="00536E1F">
        <w:rPr>
          <w:rFonts w:ascii="Arial" w:eastAsia="Calibri" w:hAnsi="Arial" w:cs="Arial"/>
          <w:iCs/>
          <w:sz w:val="22"/>
          <w:szCs w:val="22"/>
          <w:lang w:val="es-MX" w:eastAsia="en-US"/>
        </w:rPr>
        <w:t xml:space="preserve">hacer del conocimiento de este Comité de Transparencia, </w:t>
      </w:r>
      <w:r w:rsidR="00F8578E">
        <w:rPr>
          <w:rFonts w:ascii="Arial" w:eastAsia="Calibri" w:hAnsi="Arial" w:cs="Arial"/>
          <w:iCs/>
          <w:sz w:val="22"/>
          <w:szCs w:val="22"/>
          <w:lang w:val="es-MX" w:eastAsia="en-US"/>
        </w:rPr>
        <w:t xml:space="preserve">lo relativo a la presentación del Reglamento Interno de </w:t>
      </w:r>
      <w:r w:rsidR="00EF24A0">
        <w:rPr>
          <w:rFonts w:ascii="Arial" w:eastAsia="Calibri" w:hAnsi="Arial" w:cs="Arial"/>
          <w:iCs/>
          <w:sz w:val="22"/>
          <w:szCs w:val="22"/>
          <w:lang w:val="es-MX" w:eastAsia="en-US"/>
        </w:rPr>
        <w:t>T</w:t>
      </w:r>
      <w:r w:rsidR="00F8578E">
        <w:rPr>
          <w:rFonts w:ascii="Arial" w:eastAsia="Calibri" w:hAnsi="Arial" w:cs="Arial"/>
          <w:iCs/>
          <w:sz w:val="22"/>
          <w:szCs w:val="22"/>
          <w:lang w:val="es-MX" w:eastAsia="en-US"/>
        </w:rPr>
        <w:t>ransparencia</w:t>
      </w:r>
      <w:r w:rsidR="00B864E4">
        <w:rPr>
          <w:rFonts w:ascii="Arial" w:eastAsia="Calibri" w:hAnsi="Arial" w:cs="Arial"/>
          <w:iCs/>
          <w:sz w:val="22"/>
          <w:szCs w:val="22"/>
          <w:lang w:val="es-MX" w:eastAsia="en-US"/>
        </w:rPr>
        <w:t xml:space="preserve"> ante</w:t>
      </w:r>
      <w:r w:rsidR="00F8578E">
        <w:rPr>
          <w:rFonts w:ascii="Arial" w:eastAsia="Calibri" w:hAnsi="Arial" w:cs="Arial"/>
          <w:iCs/>
          <w:sz w:val="22"/>
          <w:szCs w:val="22"/>
          <w:lang w:val="es-MX" w:eastAsia="en-US"/>
        </w:rPr>
        <w:t xml:space="preserve"> </w:t>
      </w:r>
      <w:r w:rsidR="004F46EE">
        <w:rPr>
          <w:rFonts w:ascii="Arial" w:eastAsia="Calibri" w:hAnsi="Arial" w:cs="Arial"/>
          <w:iCs/>
          <w:sz w:val="22"/>
          <w:szCs w:val="22"/>
          <w:lang w:val="es-MX" w:eastAsia="en-US"/>
        </w:rPr>
        <w:t xml:space="preserve">el </w:t>
      </w:r>
      <w:r w:rsidR="00F8578E">
        <w:rPr>
          <w:rFonts w:ascii="Arial" w:eastAsia="Calibri" w:hAnsi="Arial" w:cs="Arial"/>
          <w:iCs/>
          <w:sz w:val="22"/>
          <w:szCs w:val="22"/>
          <w:lang w:val="es-MX" w:eastAsia="en-US"/>
        </w:rPr>
        <w:t xml:space="preserve">Órgano de Gobierno de este Sujeto </w:t>
      </w:r>
      <w:r w:rsidR="00A1293D">
        <w:rPr>
          <w:rFonts w:ascii="Arial" w:eastAsia="Calibri" w:hAnsi="Arial" w:cs="Arial"/>
          <w:iCs/>
          <w:sz w:val="22"/>
          <w:szCs w:val="22"/>
          <w:lang w:val="es-MX" w:eastAsia="en-US"/>
        </w:rPr>
        <w:t>O</w:t>
      </w:r>
      <w:r w:rsidR="00F8578E">
        <w:rPr>
          <w:rFonts w:ascii="Arial" w:eastAsia="Calibri" w:hAnsi="Arial" w:cs="Arial"/>
          <w:iCs/>
          <w:sz w:val="22"/>
          <w:szCs w:val="22"/>
          <w:lang w:val="es-MX" w:eastAsia="en-US"/>
        </w:rPr>
        <w:t>bligado, informa</w:t>
      </w:r>
      <w:r w:rsidR="00773892">
        <w:rPr>
          <w:rFonts w:ascii="Arial" w:eastAsia="Calibri" w:hAnsi="Arial" w:cs="Arial"/>
          <w:iCs/>
          <w:sz w:val="22"/>
          <w:szCs w:val="22"/>
          <w:lang w:val="es-MX" w:eastAsia="en-US"/>
        </w:rPr>
        <w:t>ndo que en la sesión que se llevara a cabo el día 26 de abril del año en curso</w:t>
      </w:r>
      <w:r w:rsidR="00B864E4">
        <w:rPr>
          <w:rFonts w:ascii="Arial" w:eastAsia="Calibri" w:hAnsi="Arial" w:cs="Arial"/>
          <w:iCs/>
          <w:sz w:val="22"/>
          <w:szCs w:val="22"/>
          <w:lang w:val="es-MX" w:eastAsia="en-US"/>
        </w:rPr>
        <w:t xml:space="preserve">, </w:t>
      </w:r>
      <w:r w:rsidR="00693CCF">
        <w:rPr>
          <w:rFonts w:ascii="Arial" w:eastAsia="Calibri" w:hAnsi="Arial" w:cs="Arial"/>
          <w:iCs/>
          <w:sz w:val="22"/>
          <w:szCs w:val="22"/>
          <w:lang w:val="es-MX" w:eastAsia="en-US"/>
        </w:rPr>
        <w:t xml:space="preserve">la Comisionada </w:t>
      </w:r>
      <w:r w:rsidR="00A1293D">
        <w:rPr>
          <w:rFonts w:ascii="Arial" w:eastAsia="Calibri" w:hAnsi="Arial" w:cs="Arial"/>
          <w:iCs/>
          <w:sz w:val="22"/>
          <w:szCs w:val="22"/>
          <w:lang w:val="es-MX" w:eastAsia="en-US"/>
        </w:rPr>
        <w:t>P</w:t>
      </w:r>
      <w:r w:rsidR="00693CCF">
        <w:rPr>
          <w:rFonts w:ascii="Arial" w:eastAsia="Calibri" w:hAnsi="Arial" w:cs="Arial"/>
          <w:iCs/>
          <w:sz w:val="22"/>
          <w:szCs w:val="22"/>
          <w:lang w:val="es-MX" w:eastAsia="en-US"/>
        </w:rPr>
        <w:t>resi</w:t>
      </w:r>
      <w:r w:rsidR="00F13572">
        <w:rPr>
          <w:rFonts w:ascii="Arial" w:eastAsia="Calibri" w:hAnsi="Arial" w:cs="Arial"/>
          <w:iCs/>
          <w:sz w:val="22"/>
          <w:szCs w:val="22"/>
          <w:lang w:val="es-MX" w:eastAsia="en-US"/>
        </w:rPr>
        <w:t>denta del Instituto de Transparencia, Información Pública y Protección de Datos Personales del estado de Jalisco, al momento de revisar dicho documento</w:t>
      </w:r>
      <w:r w:rsidR="002B237E">
        <w:rPr>
          <w:rFonts w:ascii="Arial" w:eastAsia="Calibri" w:hAnsi="Arial" w:cs="Arial"/>
          <w:iCs/>
          <w:sz w:val="22"/>
          <w:szCs w:val="22"/>
          <w:lang w:val="es-MX" w:eastAsia="en-US"/>
        </w:rPr>
        <w:t xml:space="preserve">, </w:t>
      </w:r>
      <w:r w:rsidR="0018438A">
        <w:rPr>
          <w:rFonts w:ascii="Arial" w:eastAsia="Calibri" w:hAnsi="Arial" w:cs="Arial"/>
          <w:iCs/>
          <w:sz w:val="22"/>
          <w:szCs w:val="22"/>
          <w:lang w:val="es-MX" w:eastAsia="en-US"/>
        </w:rPr>
        <w:t>encontr</w:t>
      </w:r>
      <w:r w:rsidR="00A1293D">
        <w:rPr>
          <w:rFonts w:ascii="Arial" w:eastAsia="Calibri" w:hAnsi="Arial" w:cs="Arial"/>
          <w:iCs/>
          <w:sz w:val="22"/>
          <w:szCs w:val="22"/>
          <w:lang w:val="es-MX" w:eastAsia="en-US"/>
        </w:rPr>
        <w:t xml:space="preserve">ó </w:t>
      </w:r>
      <w:r w:rsidR="0018438A">
        <w:rPr>
          <w:rFonts w:ascii="Arial" w:eastAsia="Calibri" w:hAnsi="Arial" w:cs="Arial"/>
          <w:iCs/>
          <w:sz w:val="22"/>
          <w:szCs w:val="22"/>
          <w:lang w:val="es-MX" w:eastAsia="en-US"/>
        </w:rPr>
        <w:t>algunas modificaciones que cree pertine</w:t>
      </w:r>
      <w:r w:rsidR="007860BC">
        <w:rPr>
          <w:rFonts w:ascii="Arial" w:eastAsia="Calibri" w:hAnsi="Arial" w:cs="Arial"/>
          <w:iCs/>
          <w:sz w:val="22"/>
          <w:szCs w:val="22"/>
          <w:lang w:val="es-MX" w:eastAsia="en-US"/>
        </w:rPr>
        <w:t>ntes  realizar</w:t>
      </w:r>
      <w:r w:rsidR="00942B6A">
        <w:rPr>
          <w:rFonts w:ascii="Arial" w:eastAsia="Calibri" w:hAnsi="Arial" w:cs="Arial"/>
          <w:iCs/>
          <w:sz w:val="22"/>
          <w:szCs w:val="22"/>
          <w:lang w:val="es-MX" w:eastAsia="en-US"/>
        </w:rPr>
        <w:t>.</w:t>
      </w:r>
    </w:p>
    <w:p w14:paraId="72A0DE73" w14:textId="3102137A" w:rsidR="00413ABC" w:rsidRPr="00433ECF" w:rsidRDefault="00413ABC" w:rsidP="00413ABC">
      <w:pPr>
        <w:ind w:right="992"/>
        <w:jc w:val="both"/>
        <w:rPr>
          <w:rFonts w:ascii="Arial" w:eastAsia="Times New Roman" w:hAnsi="Arial" w:cs="Arial"/>
          <w:b/>
          <w:i/>
          <w:sz w:val="22"/>
          <w:szCs w:val="22"/>
        </w:rPr>
      </w:pPr>
    </w:p>
    <w:p w14:paraId="39C1CDD7" w14:textId="280E023D" w:rsidR="00433ECF" w:rsidRPr="00433ECF" w:rsidRDefault="00433ECF" w:rsidP="00433ECF">
      <w:pPr>
        <w:spacing w:after="160" w:line="254"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Una vez desahogado todos los puntos de del orden del día se presenta el siguiente resumen de acuerdo, que se emitieron a lo largo de esta Primera Sesión Extraordinaria del Comité de Transparencia.</w:t>
      </w:r>
    </w:p>
    <w:p w14:paraId="37B1F36E" w14:textId="0B3ACF97" w:rsidR="00433ECF" w:rsidRDefault="00433ECF" w:rsidP="00413ABC">
      <w:pPr>
        <w:ind w:right="992"/>
        <w:jc w:val="both"/>
        <w:rPr>
          <w:rFonts w:ascii="Arial" w:eastAsia="Times New Roman" w:hAnsi="Arial" w:cs="Arial"/>
          <w:b/>
          <w:i/>
          <w:sz w:val="22"/>
          <w:szCs w:val="22"/>
        </w:rPr>
      </w:pPr>
    </w:p>
    <w:p w14:paraId="6144469C" w14:textId="77777777" w:rsidR="00433ECF" w:rsidRPr="00433ECF" w:rsidRDefault="00433ECF" w:rsidP="00433ECF">
      <w:pPr>
        <w:spacing w:after="160" w:line="256" w:lineRule="auto"/>
        <w:ind w:right="-39"/>
        <w:jc w:val="both"/>
        <w:rPr>
          <w:rFonts w:ascii="Arial" w:eastAsia="Calibri" w:hAnsi="Arial" w:cs="Arial"/>
          <w:sz w:val="22"/>
          <w:szCs w:val="22"/>
          <w:lang w:val="es-MX" w:eastAsia="en-US"/>
        </w:rPr>
      </w:pPr>
    </w:p>
    <w:p w14:paraId="1355C8A8" w14:textId="77777777" w:rsidR="00433ECF" w:rsidRPr="00433ECF" w:rsidRDefault="00433ECF" w:rsidP="00433ECF">
      <w:pPr>
        <w:spacing w:after="160" w:line="256"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ACU/SESEAJ/CT/06/2021</w:t>
      </w:r>
    </w:p>
    <w:p w14:paraId="5CFFA3C8" w14:textId="77777777" w:rsidR="00433ECF" w:rsidRDefault="00433ECF" w:rsidP="00433ECF">
      <w:pPr>
        <w:ind w:left="567" w:right="992"/>
        <w:jc w:val="both"/>
        <w:rPr>
          <w:rFonts w:ascii="Arial" w:eastAsia="Calibri" w:hAnsi="Arial" w:cs="Arial"/>
          <w:i/>
          <w:sz w:val="22"/>
          <w:szCs w:val="22"/>
          <w:lang w:val="es-MX" w:eastAsia="en-US"/>
        </w:rPr>
      </w:pPr>
    </w:p>
    <w:p w14:paraId="563B05D3" w14:textId="0D5261AF" w:rsidR="00433ECF" w:rsidRDefault="00433ECF" w:rsidP="00433ECF">
      <w:pPr>
        <w:ind w:left="567" w:right="992"/>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Cs/>
          <w:i/>
          <w:sz w:val="22"/>
          <w:szCs w:val="22"/>
          <w:lang w:val="es-MX" w:eastAsia="en-US"/>
        </w:rPr>
        <w:t xml:space="preserve">Este comité de Transparencia, reserva la información correspondiente al amparo 316/2021-IV interpuesto en contra del Órgano de Gobierno de la Secretaría Ejecutiva del Sistema Estatal </w:t>
      </w:r>
      <w:proofErr w:type="spellStart"/>
      <w:r w:rsidRPr="00433ECF">
        <w:rPr>
          <w:rFonts w:ascii="Arial" w:eastAsia="Calibri" w:hAnsi="Arial" w:cs="Arial"/>
          <w:bCs/>
          <w:i/>
          <w:sz w:val="22"/>
          <w:szCs w:val="22"/>
          <w:lang w:val="es-MX" w:eastAsia="en-US"/>
        </w:rPr>
        <w:t>Anticorupción</w:t>
      </w:r>
      <w:proofErr w:type="spellEnd"/>
      <w:r w:rsidRPr="00433ECF">
        <w:rPr>
          <w:rFonts w:ascii="Arial" w:eastAsia="Calibri" w:hAnsi="Arial" w:cs="Arial"/>
          <w:i/>
          <w:sz w:val="22"/>
          <w:szCs w:val="22"/>
          <w:lang w:val="es-MX" w:eastAsia="en-US"/>
        </w:rPr>
        <w:t>”.</w:t>
      </w:r>
    </w:p>
    <w:p w14:paraId="2C7A3ECF" w14:textId="68C84E12" w:rsidR="00433ECF" w:rsidRDefault="00433ECF" w:rsidP="00433ECF">
      <w:pPr>
        <w:ind w:left="567" w:right="992"/>
        <w:jc w:val="both"/>
        <w:rPr>
          <w:rFonts w:ascii="Arial" w:eastAsia="Calibri" w:hAnsi="Arial" w:cs="Arial"/>
          <w:i/>
          <w:sz w:val="22"/>
          <w:szCs w:val="22"/>
          <w:lang w:val="es-MX" w:eastAsia="en-US"/>
        </w:rPr>
      </w:pPr>
    </w:p>
    <w:p w14:paraId="6767F9F1" w14:textId="77777777" w:rsidR="00433ECF" w:rsidRPr="00433ECF" w:rsidRDefault="00433ECF" w:rsidP="00433ECF">
      <w:pPr>
        <w:ind w:left="567" w:right="992"/>
        <w:jc w:val="both"/>
        <w:rPr>
          <w:rFonts w:ascii="Arial" w:eastAsia="Calibri" w:hAnsi="Arial" w:cs="Arial"/>
          <w:i/>
          <w:sz w:val="22"/>
          <w:szCs w:val="22"/>
          <w:lang w:val="es-MX" w:eastAsia="en-US"/>
        </w:rPr>
      </w:pPr>
    </w:p>
    <w:p w14:paraId="6A3A7FC3" w14:textId="1507BF09" w:rsidR="00433ECF" w:rsidRDefault="00433ECF" w:rsidP="00413ABC">
      <w:pPr>
        <w:ind w:right="992"/>
        <w:jc w:val="both"/>
        <w:rPr>
          <w:rFonts w:ascii="Arial" w:eastAsia="Times New Roman" w:hAnsi="Arial" w:cs="Arial"/>
          <w:b/>
          <w:i/>
          <w:sz w:val="22"/>
          <w:szCs w:val="22"/>
        </w:rPr>
      </w:pPr>
    </w:p>
    <w:p w14:paraId="40494DE3" w14:textId="77777777" w:rsidR="00433ECF" w:rsidRPr="00433ECF" w:rsidRDefault="00433ECF" w:rsidP="00433ECF">
      <w:pPr>
        <w:spacing w:after="160" w:line="254" w:lineRule="auto"/>
        <w:ind w:left="426" w:right="1134" w:firstLine="708"/>
        <w:jc w:val="both"/>
        <w:rPr>
          <w:rFonts w:ascii="Arial" w:eastAsia="Calibri" w:hAnsi="Arial" w:cs="Arial"/>
          <w:b/>
          <w:i/>
          <w:caps/>
          <w:sz w:val="22"/>
          <w:szCs w:val="22"/>
          <w:u w:val="single"/>
          <w:lang w:val="es-MX" w:eastAsia="en-US"/>
        </w:rPr>
      </w:pPr>
      <w:r w:rsidRPr="00433ECF">
        <w:rPr>
          <w:rFonts w:ascii="Arial" w:eastAsia="Calibri" w:hAnsi="Arial" w:cs="Arial"/>
          <w:b/>
          <w:i/>
          <w:sz w:val="22"/>
          <w:szCs w:val="22"/>
          <w:u w:val="single"/>
          <w:lang w:val="es-MX" w:eastAsia="en-US"/>
        </w:rPr>
        <w:t>ACU/SESEAJ/CT/07/2021</w:t>
      </w:r>
    </w:p>
    <w:p w14:paraId="573DDD26" w14:textId="77777777" w:rsidR="00433ECF" w:rsidRPr="00433ECF" w:rsidRDefault="00433ECF" w:rsidP="00433ECF">
      <w:pPr>
        <w:spacing w:after="160" w:line="254" w:lineRule="auto"/>
        <w:ind w:left="1134" w:right="1134"/>
        <w:jc w:val="both"/>
        <w:rPr>
          <w:rFonts w:ascii="Arial" w:eastAsia="Calibri" w:hAnsi="Arial" w:cs="Arial"/>
          <w:i/>
          <w:sz w:val="22"/>
          <w:szCs w:val="22"/>
          <w:lang w:val="es-MX" w:eastAsia="en-US"/>
        </w:rPr>
      </w:pPr>
      <w:r w:rsidRPr="00433ECF">
        <w:rPr>
          <w:rFonts w:ascii="Arial" w:eastAsia="Calibri" w:hAnsi="Arial" w:cs="Arial"/>
          <w:i/>
          <w:sz w:val="22"/>
          <w:szCs w:val="22"/>
          <w:lang w:val="es-MX" w:eastAsia="en-US"/>
        </w:rPr>
        <w:t>“</w:t>
      </w:r>
      <w:r w:rsidRPr="00433ECF">
        <w:rPr>
          <w:rFonts w:ascii="Arial" w:eastAsia="Calibri" w:hAnsi="Arial" w:cs="Arial"/>
          <w:b/>
          <w:i/>
          <w:sz w:val="22"/>
          <w:szCs w:val="22"/>
          <w:lang w:val="es-MX" w:eastAsia="en-US"/>
        </w:rPr>
        <w:t xml:space="preserve">Se confirma la elaboración de la versión pública de situación patrimonial y de interés iniciales de la C. Diana Vera Álvarez personal de la Secretaría Ejecutiva del Sistema Estatal Anticorrupción de </w:t>
      </w:r>
      <w:r w:rsidRPr="00433ECF">
        <w:rPr>
          <w:rFonts w:ascii="Arial" w:eastAsia="Calibri" w:hAnsi="Arial" w:cs="Arial"/>
          <w:b/>
          <w:i/>
          <w:sz w:val="22"/>
          <w:szCs w:val="22"/>
          <w:lang w:val="es-MX" w:eastAsia="en-US"/>
        </w:rPr>
        <w:lastRenderedPageBreak/>
        <w:t xml:space="preserve">Jalisco, </w:t>
      </w:r>
      <w:r w:rsidRPr="00433ECF">
        <w:rPr>
          <w:rFonts w:ascii="Arial" w:eastAsia="Calibri" w:hAnsi="Arial" w:cs="Arial"/>
          <w:i/>
          <w:sz w:val="22"/>
          <w:szCs w:val="22"/>
          <w:lang w:val="es-MX" w:eastAsia="en-US"/>
        </w:rPr>
        <w:t xml:space="preserve">realizadas por el  Órgano Interno de Control y por la Unidad de Transparencia de esta Secretaría Ejecutiva del Sistema Estatal Anticorrupción de Jalisco, por la que determinaron como datos personales: </w:t>
      </w:r>
      <w:r w:rsidRPr="00433ECF">
        <w:rPr>
          <w:rFonts w:ascii="Arial" w:eastAsia="Calibri" w:hAnsi="Arial" w:cs="Arial"/>
          <w:b/>
          <w:i/>
          <w:sz w:val="22"/>
          <w:szCs w:val="22"/>
          <w:lang w:val="es-MX" w:eastAsia="en-US"/>
        </w:rPr>
        <w:t>CURP, RFC/</w:t>
      </w:r>
      <w:proofErr w:type="spellStart"/>
      <w:r w:rsidRPr="00433ECF">
        <w:rPr>
          <w:rFonts w:ascii="Arial" w:eastAsia="Calibri" w:hAnsi="Arial" w:cs="Arial"/>
          <w:b/>
          <w:i/>
          <w:sz w:val="22"/>
          <w:szCs w:val="22"/>
          <w:lang w:val="es-MX" w:eastAsia="en-US"/>
        </w:rPr>
        <w:t>Homoclave</w:t>
      </w:r>
      <w:proofErr w:type="spellEnd"/>
      <w:r w:rsidRPr="00433ECF">
        <w:rPr>
          <w:rFonts w:ascii="Arial" w:eastAsia="Times New Roman" w:hAnsi="Arial" w:cs="Arial"/>
          <w:i/>
          <w:sz w:val="22"/>
          <w:szCs w:val="22"/>
          <w:lang w:val="es-ES"/>
        </w:rPr>
        <w:t xml:space="preserve">, </w:t>
      </w:r>
      <w:r w:rsidRPr="00433ECF">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433ECF">
        <w:rPr>
          <w:rFonts w:ascii="Arial" w:eastAsia="Times New Roman" w:hAnsi="Arial" w:cs="Arial"/>
          <w:i/>
          <w:sz w:val="22"/>
          <w:szCs w:val="22"/>
          <w:lang w:val="es-ES"/>
        </w:rPr>
        <w:t xml:space="preserve"> </w:t>
      </w:r>
      <w:r w:rsidRPr="00433ECF">
        <w:rPr>
          <w:rFonts w:ascii="Arial" w:eastAsia="Calibri" w:hAnsi="Arial" w:cs="Arial"/>
          <w:i/>
          <w:sz w:val="22"/>
          <w:szCs w:val="22"/>
          <w:lang w:val="es-MX" w:eastAsia="en-US"/>
        </w:rPr>
        <w:t>contenidos éstos en  las declaraciones patrimoniales”.</w:t>
      </w:r>
    </w:p>
    <w:p w14:paraId="65386A0C" w14:textId="77777777" w:rsidR="00433ECF" w:rsidRPr="00433ECF" w:rsidRDefault="00433ECF" w:rsidP="00413ABC">
      <w:pPr>
        <w:ind w:right="992"/>
        <w:jc w:val="both"/>
        <w:rPr>
          <w:rFonts w:ascii="Arial" w:eastAsia="Times New Roman" w:hAnsi="Arial" w:cs="Arial"/>
          <w:b/>
          <w:i/>
          <w:sz w:val="22"/>
          <w:szCs w:val="22"/>
        </w:rPr>
      </w:pPr>
    </w:p>
    <w:p w14:paraId="38340EC6" w14:textId="77777777" w:rsidR="00433ECF" w:rsidRPr="00433ECF" w:rsidRDefault="00433ECF" w:rsidP="00413ABC">
      <w:pPr>
        <w:ind w:right="992"/>
        <w:jc w:val="both"/>
        <w:rPr>
          <w:rFonts w:ascii="Arial" w:eastAsia="Times New Roman" w:hAnsi="Arial" w:cs="Arial"/>
          <w:b/>
          <w:i/>
          <w:sz w:val="22"/>
          <w:szCs w:val="22"/>
        </w:rPr>
      </w:pPr>
    </w:p>
    <w:p w14:paraId="62B5711F" w14:textId="77777777" w:rsidR="00E731DB" w:rsidRPr="00433ECF" w:rsidRDefault="00E731DB" w:rsidP="00E731DB">
      <w:pPr>
        <w:jc w:val="both"/>
        <w:rPr>
          <w:rFonts w:ascii="Arial" w:eastAsia="Times New Roman" w:hAnsi="Arial" w:cs="Arial"/>
          <w:sz w:val="22"/>
          <w:szCs w:val="22"/>
        </w:rPr>
      </w:pPr>
    </w:p>
    <w:p w14:paraId="65C1A8A5" w14:textId="088A65BC" w:rsidR="00CC5F97" w:rsidRPr="00433ECF" w:rsidRDefault="001A70D2" w:rsidP="00B77DFD">
      <w:pPr>
        <w:spacing w:after="160" w:line="256" w:lineRule="auto"/>
        <w:jc w:val="both"/>
        <w:rPr>
          <w:rFonts w:ascii="Arial" w:eastAsia="Calibri" w:hAnsi="Arial" w:cs="Arial"/>
          <w:sz w:val="22"/>
          <w:szCs w:val="22"/>
          <w:lang w:val="es-MX" w:eastAsia="en-US"/>
        </w:rPr>
      </w:pPr>
      <w:proofErr w:type="gramStart"/>
      <w:r w:rsidRPr="00433ECF">
        <w:rPr>
          <w:rFonts w:ascii="Arial" w:eastAsia="Calibri" w:hAnsi="Arial" w:cs="Arial"/>
          <w:sz w:val="22"/>
          <w:szCs w:val="22"/>
          <w:lang w:val="es-MX" w:eastAsia="en-US"/>
        </w:rPr>
        <w:t>En razón de</w:t>
      </w:r>
      <w:proofErr w:type="gramEnd"/>
      <w:r w:rsidRPr="00433ECF">
        <w:rPr>
          <w:rFonts w:ascii="Arial" w:eastAsia="Calibri" w:hAnsi="Arial" w:cs="Arial"/>
          <w:sz w:val="22"/>
          <w:szCs w:val="22"/>
          <w:lang w:val="es-MX" w:eastAsia="en-US"/>
        </w:rPr>
        <w:t xml:space="preserve"> haber sido desahogado el orden del día en todos sus puntos, se declara clausurada la presente sesión, siendo las 1</w:t>
      </w:r>
      <w:r w:rsidR="00433ECF">
        <w:rPr>
          <w:rFonts w:ascii="Arial" w:eastAsia="Calibri" w:hAnsi="Arial" w:cs="Arial"/>
          <w:sz w:val="22"/>
          <w:szCs w:val="22"/>
          <w:lang w:val="es-MX" w:eastAsia="en-US"/>
        </w:rPr>
        <w:t>0</w:t>
      </w:r>
      <w:r w:rsidRPr="00433ECF">
        <w:rPr>
          <w:rFonts w:ascii="Arial" w:eastAsia="Calibri" w:hAnsi="Arial" w:cs="Arial"/>
          <w:sz w:val="22"/>
          <w:szCs w:val="22"/>
          <w:lang w:val="es-MX" w:eastAsia="en-US"/>
        </w:rPr>
        <w:t>:</w:t>
      </w:r>
      <w:r w:rsidR="00942B6A">
        <w:rPr>
          <w:rFonts w:ascii="Arial" w:eastAsia="Calibri" w:hAnsi="Arial" w:cs="Arial"/>
          <w:sz w:val="22"/>
          <w:szCs w:val="22"/>
          <w:lang w:val="es-MX" w:eastAsia="en-US"/>
        </w:rPr>
        <w:t>4</w:t>
      </w:r>
      <w:r w:rsidR="00FE1BB9">
        <w:rPr>
          <w:rFonts w:ascii="Arial" w:eastAsia="Calibri" w:hAnsi="Arial" w:cs="Arial"/>
          <w:sz w:val="22"/>
          <w:szCs w:val="22"/>
          <w:lang w:val="es-MX" w:eastAsia="en-US"/>
        </w:rPr>
        <w:t>5</w:t>
      </w:r>
      <w:r w:rsidRPr="00433ECF">
        <w:rPr>
          <w:rFonts w:ascii="Arial" w:eastAsia="Calibri" w:hAnsi="Arial" w:cs="Arial"/>
          <w:sz w:val="22"/>
          <w:szCs w:val="22"/>
          <w:lang w:val="es-MX" w:eastAsia="en-US"/>
        </w:rPr>
        <w:t xml:space="preserve"> </w:t>
      </w:r>
      <w:r w:rsidR="00433ECF">
        <w:rPr>
          <w:rFonts w:ascii="Arial" w:eastAsia="Calibri" w:hAnsi="Arial" w:cs="Arial"/>
          <w:sz w:val="22"/>
          <w:szCs w:val="22"/>
          <w:lang w:val="es-MX" w:eastAsia="en-US"/>
        </w:rPr>
        <w:t>diez</w:t>
      </w:r>
      <w:r w:rsidRPr="00433ECF">
        <w:rPr>
          <w:rFonts w:ascii="Arial" w:eastAsia="Calibri" w:hAnsi="Arial" w:cs="Arial"/>
          <w:sz w:val="22"/>
          <w:szCs w:val="22"/>
          <w:lang w:val="es-MX" w:eastAsia="en-US"/>
        </w:rPr>
        <w:t xml:space="preserve"> horas con </w:t>
      </w:r>
      <w:r w:rsidR="00FE1BB9">
        <w:rPr>
          <w:rFonts w:ascii="Arial" w:eastAsia="Calibri" w:hAnsi="Arial" w:cs="Arial"/>
          <w:sz w:val="22"/>
          <w:szCs w:val="22"/>
          <w:lang w:val="es-MX" w:eastAsia="en-US"/>
        </w:rPr>
        <w:t>cuarenta y cinco</w:t>
      </w:r>
      <w:r w:rsidR="00C1636B" w:rsidRPr="00433ECF">
        <w:rPr>
          <w:rFonts w:ascii="Arial" w:eastAsia="Calibri" w:hAnsi="Arial" w:cs="Arial"/>
          <w:sz w:val="22"/>
          <w:szCs w:val="22"/>
          <w:lang w:val="es-MX" w:eastAsia="en-US"/>
        </w:rPr>
        <w:t xml:space="preserve"> </w:t>
      </w:r>
      <w:r w:rsidRPr="00433ECF">
        <w:rPr>
          <w:rFonts w:ascii="Arial" w:eastAsia="Calibri" w:hAnsi="Arial" w:cs="Arial"/>
          <w:sz w:val="22"/>
          <w:szCs w:val="22"/>
          <w:lang w:val="es-MX" w:eastAsia="en-US"/>
        </w:rPr>
        <w:t>minutos del día de su inicio, firmando los que en ella intervinieron, quisieron y pudieron hacerlo.</w:t>
      </w:r>
    </w:p>
    <w:p w14:paraId="25893519" w14:textId="1BC6C219" w:rsidR="00433ECF" w:rsidRDefault="00433ECF" w:rsidP="001A70D2">
      <w:pPr>
        <w:jc w:val="both"/>
        <w:rPr>
          <w:rFonts w:ascii="Arial" w:eastAsia="Calibri" w:hAnsi="Arial" w:cs="Arial"/>
          <w:sz w:val="22"/>
          <w:szCs w:val="22"/>
          <w:lang w:val="es-MX" w:eastAsia="en-US"/>
        </w:rPr>
      </w:pPr>
    </w:p>
    <w:p w14:paraId="3310ED88" w14:textId="2B7559F1" w:rsidR="00433ECF" w:rsidRDefault="00433ECF" w:rsidP="001A70D2">
      <w:pPr>
        <w:jc w:val="both"/>
        <w:rPr>
          <w:rFonts w:ascii="Arial" w:eastAsia="Calibri" w:hAnsi="Arial" w:cs="Arial"/>
          <w:sz w:val="22"/>
          <w:szCs w:val="22"/>
          <w:lang w:val="es-MX" w:eastAsia="en-US"/>
        </w:rPr>
      </w:pPr>
    </w:p>
    <w:p w14:paraId="50083CBB" w14:textId="77777777" w:rsidR="00433ECF" w:rsidRPr="00433ECF" w:rsidRDefault="00433ECF" w:rsidP="001A70D2">
      <w:pPr>
        <w:jc w:val="both"/>
        <w:rPr>
          <w:rFonts w:ascii="Arial" w:eastAsia="Calibri" w:hAnsi="Arial" w:cs="Arial"/>
          <w:sz w:val="22"/>
          <w:szCs w:val="22"/>
          <w:lang w:val="es-MX" w:eastAsia="en-US"/>
        </w:rPr>
      </w:pPr>
    </w:p>
    <w:p w14:paraId="476C57A1" w14:textId="77777777" w:rsidR="001A70D2" w:rsidRPr="00433ECF" w:rsidRDefault="001A70D2" w:rsidP="001A70D2">
      <w:pPr>
        <w:jc w:val="both"/>
        <w:rPr>
          <w:rFonts w:ascii="Arial" w:eastAsia="Calibri" w:hAnsi="Arial" w:cs="Arial"/>
          <w:sz w:val="22"/>
          <w:szCs w:val="22"/>
          <w:lang w:val="es-MX" w:eastAsia="en-US"/>
        </w:rPr>
      </w:pPr>
    </w:p>
    <w:p w14:paraId="226AA55D" w14:textId="77777777" w:rsidR="00662697" w:rsidRPr="00433ECF" w:rsidRDefault="00662697" w:rsidP="001A70D2">
      <w:pPr>
        <w:jc w:val="both"/>
        <w:rPr>
          <w:rFonts w:ascii="Arial" w:eastAsia="Calibri" w:hAnsi="Arial" w:cs="Arial"/>
          <w:sz w:val="22"/>
          <w:szCs w:val="22"/>
          <w:lang w:val="es-MX" w:eastAsia="en-US"/>
        </w:rPr>
      </w:pPr>
    </w:p>
    <w:p w14:paraId="7056AD82" w14:textId="77777777" w:rsidR="00662697" w:rsidRPr="00433ECF" w:rsidRDefault="00662697" w:rsidP="001A70D2">
      <w:pPr>
        <w:jc w:val="both"/>
        <w:rPr>
          <w:rFonts w:ascii="Arial" w:eastAsia="Calibri" w:hAnsi="Arial" w:cs="Arial"/>
          <w:sz w:val="22"/>
          <w:szCs w:val="22"/>
          <w:lang w:val="es-MX" w:eastAsia="en-US"/>
        </w:rPr>
      </w:pPr>
    </w:p>
    <w:p w14:paraId="484B546E" w14:textId="77777777" w:rsidR="001A70D2" w:rsidRPr="00433ECF" w:rsidRDefault="001A70D2" w:rsidP="001A70D2">
      <w:pPr>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____________________________________</w:t>
      </w:r>
    </w:p>
    <w:p w14:paraId="0CF2D1B6" w14:textId="77777777" w:rsidR="001A70D2" w:rsidRPr="00433ECF" w:rsidRDefault="001A70D2" w:rsidP="001A70D2">
      <w:pPr>
        <w:jc w:val="center"/>
        <w:rPr>
          <w:rFonts w:ascii="Arial" w:eastAsia="Calibri" w:hAnsi="Arial" w:cs="Arial"/>
          <w:b/>
          <w:sz w:val="22"/>
          <w:szCs w:val="22"/>
          <w:lang w:val="es-MX" w:eastAsia="en-US"/>
        </w:rPr>
      </w:pPr>
      <w:r w:rsidRPr="00433ECF">
        <w:rPr>
          <w:rFonts w:ascii="Arial" w:eastAsia="Calibri" w:hAnsi="Arial" w:cs="Arial"/>
          <w:b/>
          <w:sz w:val="22"/>
          <w:szCs w:val="22"/>
          <w:lang w:val="es-MX" w:eastAsia="en-US"/>
        </w:rPr>
        <w:t xml:space="preserve">Dra. </w:t>
      </w:r>
      <w:proofErr w:type="spellStart"/>
      <w:r w:rsidRPr="00433ECF">
        <w:rPr>
          <w:rFonts w:ascii="Arial" w:eastAsia="Calibri" w:hAnsi="Arial" w:cs="Arial"/>
          <w:b/>
          <w:sz w:val="22"/>
          <w:szCs w:val="22"/>
          <w:lang w:val="es-MX" w:eastAsia="en-US"/>
        </w:rPr>
        <w:t>Haimé</w:t>
      </w:r>
      <w:proofErr w:type="spellEnd"/>
      <w:r w:rsidRPr="00433ECF">
        <w:rPr>
          <w:rFonts w:ascii="Arial" w:eastAsia="Calibri" w:hAnsi="Arial" w:cs="Arial"/>
          <w:b/>
          <w:sz w:val="22"/>
          <w:szCs w:val="22"/>
          <w:lang w:val="es-MX" w:eastAsia="en-US"/>
        </w:rPr>
        <w:t xml:space="preserve"> Figueroa Neri</w:t>
      </w:r>
    </w:p>
    <w:p w14:paraId="5A63ED1C" w14:textId="77777777" w:rsidR="001A70D2" w:rsidRPr="00433ECF" w:rsidRDefault="001A70D2" w:rsidP="001A70D2">
      <w:pPr>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Presidenta del Comité de Transparencia</w:t>
      </w:r>
    </w:p>
    <w:p w14:paraId="468C3BA4" w14:textId="77777777" w:rsidR="001A70D2" w:rsidRPr="00433ECF" w:rsidRDefault="001A70D2" w:rsidP="001A70D2">
      <w:pPr>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de la Secretaría Ejecutiva del Sistema Estatal </w:t>
      </w:r>
    </w:p>
    <w:p w14:paraId="0CD8CEB5" w14:textId="77777777" w:rsidR="001A70D2" w:rsidRPr="00433ECF" w:rsidRDefault="001A70D2" w:rsidP="001A70D2">
      <w:pPr>
        <w:spacing w:line="256" w:lineRule="auto"/>
        <w:jc w:val="center"/>
        <w:rPr>
          <w:rFonts w:ascii="Arial" w:eastAsia="Calibri" w:hAnsi="Arial" w:cs="Arial"/>
          <w:sz w:val="22"/>
          <w:szCs w:val="22"/>
          <w:lang w:val="es-MX" w:eastAsia="en-US"/>
        </w:rPr>
      </w:pPr>
      <w:r w:rsidRPr="00433ECF">
        <w:rPr>
          <w:rFonts w:ascii="Arial" w:eastAsia="Calibri" w:hAnsi="Arial" w:cs="Arial"/>
          <w:sz w:val="22"/>
          <w:szCs w:val="22"/>
          <w:lang w:val="es-MX" w:eastAsia="en-US"/>
        </w:rPr>
        <w:t>Anticorrupción de Jalisco.</w:t>
      </w:r>
    </w:p>
    <w:p w14:paraId="747EBE35" w14:textId="1336D44D" w:rsidR="001A70D2" w:rsidRDefault="001A70D2" w:rsidP="001A70D2">
      <w:pPr>
        <w:spacing w:line="256" w:lineRule="auto"/>
        <w:jc w:val="center"/>
        <w:rPr>
          <w:rFonts w:ascii="Arial" w:eastAsia="Calibri" w:hAnsi="Arial" w:cs="Arial"/>
          <w:sz w:val="22"/>
          <w:szCs w:val="22"/>
          <w:lang w:val="es-MX" w:eastAsia="en-US"/>
        </w:rPr>
      </w:pPr>
    </w:p>
    <w:p w14:paraId="397B45DF" w14:textId="493442D2" w:rsidR="00060157" w:rsidRDefault="00060157" w:rsidP="001A70D2">
      <w:pPr>
        <w:spacing w:line="256" w:lineRule="auto"/>
        <w:jc w:val="center"/>
        <w:rPr>
          <w:rFonts w:ascii="Arial" w:eastAsia="Calibri" w:hAnsi="Arial" w:cs="Arial"/>
          <w:sz w:val="22"/>
          <w:szCs w:val="22"/>
          <w:lang w:val="es-MX" w:eastAsia="en-US"/>
        </w:rPr>
      </w:pPr>
    </w:p>
    <w:p w14:paraId="74F43EB7" w14:textId="77777777" w:rsidR="00060157" w:rsidRPr="00433ECF" w:rsidRDefault="00060157" w:rsidP="001A70D2">
      <w:pPr>
        <w:spacing w:line="256" w:lineRule="auto"/>
        <w:jc w:val="center"/>
        <w:rPr>
          <w:rFonts w:ascii="Arial" w:eastAsia="Calibri" w:hAnsi="Arial" w:cs="Arial"/>
          <w:sz w:val="22"/>
          <w:szCs w:val="22"/>
          <w:lang w:val="es-MX" w:eastAsia="en-US"/>
        </w:rPr>
      </w:pPr>
    </w:p>
    <w:p w14:paraId="3D53E9E5" w14:textId="77777777" w:rsidR="001A70D2" w:rsidRPr="00433ECF" w:rsidRDefault="001A70D2" w:rsidP="001A70D2">
      <w:pPr>
        <w:spacing w:line="256" w:lineRule="auto"/>
        <w:jc w:val="center"/>
        <w:rPr>
          <w:rFonts w:ascii="Arial" w:eastAsia="Calibri" w:hAnsi="Arial" w:cs="Arial"/>
          <w:sz w:val="22"/>
          <w:szCs w:val="22"/>
          <w:lang w:val="es-MX" w:eastAsia="en-US"/>
        </w:rPr>
      </w:pPr>
    </w:p>
    <w:p w14:paraId="5740CCBC" w14:textId="77777777" w:rsidR="001A70D2" w:rsidRPr="00433ECF" w:rsidRDefault="001A70D2" w:rsidP="001A70D2">
      <w:pPr>
        <w:spacing w:line="256" w:lineRule="auto"/>
        <w:jc w:val="center"/>
        <w:rPr>
          <w:rFonts w:ascii="Arial" w:eastAsia="Calibri" w:hAnsi="Arial" w:cs="Arial"/>
          <w:sz w:val="22"/>
          <w:szCs w:val="22"/>
          <w:lang w:val="es-MX" w:eastAsia="en-US"/>
        </w:rPr>
      </w:pPr>
    </w:p>
    <w:p w14:paraId="6BFB1A44" w14:textId="77777777" w:rsidR="001A70D2" w:rsidRPr="00433ECF" w:rsidRDefault="001A70D2" w:rsidP="001A70D2">
      <w:pPr>
        <w:spacing w:line="256"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_______________________________       </w:t>
      </w:r>
      <w:r w:rsidR="003A4B30" w:rsidRPr="00433ECF">
        <w:rPr>
          <w:rFonts w:ascii="Arial" w:eastAsia="Calibri" w:hAnsi="Arial" w:cs="Arial"/>
          <w:sz w:val="22"/>
          <w:szCs w:val="22"/>
          <w:lang w:val="es-MX" w:eastAsia="en-US"/>
        </w:rPr>
        <w:t xml:space="preserve">     </w:t>
      </w:r>
      <w:r w:rsidRPr="00433ECF">
        <w:rPr>
          <w:rFonts w:ascii="Arial" w:eastAsia="Calibri" w:hAnsi="Arial" w:cs="Arial"/>
          <w:sz w:val="22"/>
          <w:szCs w:val="22"/>
          <w:lang w:val="es-MX" w:eastAsia="en-US"/>
        </w:rPr>
        <w:t xml:space="preserve">  ______________________________</w:t>
      </w:r>
    </w:p>
    <w:p w14:paraId="1B2B97F8" w14:textId="77777777" w:rsidR="001A70D2" w:rsidRPr="00433ECF" w:rsidRDefault="001A70D2" w:rsidP="001A70D2">
      <w:pPr>
        <w:spacing w:line="256" w:lineRule="auto"/>
        <w:jc w:val="both"/>
        <w:rPr>
          <w:rFonts w:ascii="Arial" w:eastAsia="Calibri" w:hAnsi="Arial" w:cs="Arial"/>
          <w:b/>
          <w:sz w:val="22"/>
          <w:szCs w:val="22"/>
          <w:lang w:val="es-MX" w:eastAsia="en-US"/>
        </w:rPr>
      </w:pPr>
      <w:r w:rsidRPr="00433ECF">
        <w:rPr>
          <w:rFonts w:ascii="Arial" w:eastAsia="Calibri" w:hAnsi="Arial" w:cs="Arial"/>
          <w:b/>
          <w:sz w:val="22"/>
          <w:szCs w:val="22"/>
          <w:lang w:val="es-MX" w:eastAsia="en-US"/>
        </w:rPr>
        <w:t xml:space="preserve">Lic. </w:t>
      </w:r>
      <w:r w:rsidR="00CC5F97" w:rsidRPr="00433ECF">
        <w:rPr>
          <w:rFonts w:ascii="Arial" w:eastAsia="Calibri" w:hAnsi="Arial" w:cs="Arial"/>
          <w:b/>
          <w:sz w:val="22"/>
          <w:szCs w:val="22"/>
          <w:lang w:val="es-MX" w:eastAsia="en-US"/>
        </w:rPr>
        <w:t>Miguel Navarro Flores</w:t>
      </w:r>
      <w:r w:rsidRPr="00433ECF">
        <w:rPr>
          <w:rFonts w:ascii="Arial" w:eastAsia="Calibri" w:hAnsi="Arial" w:cs="Arial"/>
          <w:b/>
          <w:sz w:val="22"/>
          <w:szCs w:val="22"/>
          <w:lang w:val="es-MX" w:eastAsia="en-US"/>
        </w:rPr>
        <w:t>.</w:t>
      </w:r>
      <w:r w:rsidRPr="00433ECF">
        <w:rPr>
          <w:rFonts w:ascii="Arial" w:eastAsia="Calibri" w:hAnsi="Arial" w:cs="Arial"/>
          <w:b/>
          <w:sz w:val="22"/>
          <w:szCs w:val="22"/>
          <w:lang w:val="es-MX" w:eastAsia="en-US"/>
        </w:rPr>
        <w:tab/>
      </w:r>
      <w:r w:rsidRPr="00433ECF">
        <w:rPr>
          <w:rFonts w:ascii="Arial" w:eastAsia="Calibri" w:hAnsi="Arial" w:cs="Arial"/>
          <w:sz w:val="22"/>
          <w:szCs w:val="22"/>
          <w:lang w:val="es-MX" w:eastAsia="en-US"/>
        </w:rPr>
        <w:tab/>
      </w:r>
      <w:r w:rsidRPr="00433ECF">
        <w:rPr>
          <w:rFonts w:ascii="Arial" w:eastAsia="Calibri" w:hAnsi="Arial" w:cs="Arial"/>
          <w:b/>
          <w:sz w:val="22"/>
          <w:szCs w:val="22"/>
          <w:lang w:val="es-MX" w:eastAsia="en-US"/>
        </w:rPr>
        <w:t xml:space="preserve"> </w:t>
      </w:r>
      <w:r w:rsidR="003A4B30" w:rsidRPr="00433ECF">
        <w:rPr>
          <w:rFonts w:ascii="Arial" w:eastAsia="Calibri" w:hAnsi="Arial" w:cs="Arial"/>
          <w:b/>
          <w:sz w:val="22"/>
          <w:szCs w:val="22"/>
          <w:lang w:val="es-MX" w:eastAsia="en-US"/>
        </w:rPr>
        <w:t xml:space="preserve">    </w:t>
      </w:r>
      <w:r w:rsidR="00CC3771" w:rsidRPr="00433ECF">
        <w:rPr>
          <w:rFonts w:ascii="Arial" w:eastAsia="Calibri" w:hAnsi="Arial" w:cs="Arial"/>
          <w:b/>
          <w:sz w:val="22"/>
          <w:szCs w:val="22"/>
          <w:lang w:val="es-MX" w:eastAsia="en-US"/>
        </w:rPr>
        <w:t xml:space="preserve">            </w:t>
      </w:r>
      <w:r w:rsidR="00662697" w:rsidRPr="00433ECF">
        <w:rPr>
          <w:rFonts w:ascii="Arial" w:eastAsia="Calibri" w:hAnsi="Arial" w:cs="Arial"/>
          <w:b/>
          <w:sz w:val="22"/>
          <w:szCs w:val="22"/>
          <w:lang w:val="es-MX" w:eastAsia="en-US"/>
        </w:rPr>
        <w:t>Dr</w:t>
      </w:r>
      <w:r w:rsidRPr="00433ECF">
        <w:rPr>
          <w:rFonts w:ascii="Arial" w:eastAsia="Calibri" w:hAnsi="Arial" w:cs="Arial"/>
          <w:b/>
          <w:sz w:val="22"/>
          <w:szCs w:val="22"/>
          <w:lang w:val="es-MX" w:eastAsia="en-US"/>
        </w:rPr>
        <w:t xml:space="preserve">. </w:t>
      </w:r>
      <w:r w:rsidR="00662697" w:rsidRPr="00433ECF">
        <w:rPr>
          <w:rFonts w:ascii="Arial" w:eastAsia="Calibri" w:hAnsi="Arial" w:cs="Arial"/>
          <w:b/>
          <w:sz w:val="22"/>
          <w:szCs w:val="22"/>
          <w:lang w:val="es-MX" w:eastAsia="en-US"/>
        </w:rPr>
        <w:t>Israel García Iñiguez</w:t>
      </w:r>
    </w:p>
    <w:p w14:paraId="7271C2E8" w14:textId="77777777" w:rsidR="001A70D2" w:rsidRPr="00433ECF" w:rsidRDefault="00CC5F97" w:rsidP="001A70D2">
      <w:pPr>
        <w:spacing w:line="256"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 xml:space="preserve">Titular de </w:t>
      </w:r>
      <w:r w:rsidR="001A70D2" w:rsidRPr="00433ECF">
        <w:rPr>
          <w:rFonts w:ascii="Arial" w:eastAsia="Calibri" w:hAnsi="Arial" w:cs="Arial"/>
          <w:sz w:val="22"/>
          <w:szCs w:val="22"/>
          <w:lang w:val="es-MX" w:eastAsia="en-US"/>
        </w:rPr>
        <w:t xml:space="preserve">la Unidad </w:t>
      </w:r>
      <w:r w:rsidRPr="00433ECF">
        <w:rPr>
          <w:rFonts w:ascii="Arial" w:eastAsia="Calibri" w:hAnsi="Arial" w:cs="Arial"/>
          <w:sz w:val="22"/>
          <w:szCs w:val="22"/>
          <w:lang w:val="es-MX" w:eastAsia="en-US"/>
        </w:rPr>
        <w:t xml:space="preserve">de Transparencia               </w:t>
      </w:r>
      <w:r w:rsidR="00662697" w:rsidRPr="00433ECF">
        <w:rPr>
          <w:rFonts w:ascii="Arial" w:eastAsia="Calibri" w:hAnsi="Arial" w:cs="Arial"/>
          <w:sz w:val="22"/>
          <w:szCs w:val="22"/>
          <w:lang w:val="es-MX" w:eastAsia="en-US"/>
        </w:rPr>
        <w:t>Titular</w:t>
      </w:r>
      <w:r w:rsidR="001A70D2" w:rsidRPr="00433ECF">
        <w:rPr>
          <w:rFonts w:ascii="Arial" w:eastAsia="Calibri" w:hAnsi="Arial" w:cs="Arial"/>
          <w:sz w:val="22"/>
          <w:szCs w:val="22"/>
          <w:lang w:val="es-MX" w:eastAsia="en-US"/>
        </w:rPr>
        <w:t xml:space="preserve"> del Órgano Interno de Control</w:t>
      </w:r>
      <w:r w:rsidRPr="00433ECF">
        <w:rPr>
          <w:rFonts w:ascii="Arial" w:eastAsia="Calibri" w:hAnsi="Arial" w:cs="Arial"/>
          <w:sz w:val="22"/>
          <w:szCs w:val="22"/>
          <w:lang w:val="es-MX" w:eastAsia="en-US"/>
        </w:rPr>
        <w:t xml:space="preserve"> de la</w:t>
      </w:r>
    </w:p>
    <w:p w14:paraId="114F38DE" w14:textId="77777777" w:rsidR="00CC3771" w:rsidRPr="00433ECF" w:rsidRDefault="001A70D2" w:rsidP="001A70D2">
      <w:pPr>
        <w:spacing w:line="256" w:lineRule="auto"/>
        <w:jc w:val="both"/>
        <w:rPr>
          <w:rFonts w:ascii="Arial" w:eastAsia="Calibri" w:hAnsi="Arial" w:cs="Arial"/>
          <w:sz w:val="22"/>
          <w:szCs w:val="22"/>
          <w:lang w:val="es-MX" w:eastAsia="en-US"/>
        </w:rPr>
      </w:pPr>
      <w:r w:rsidRPr="00433ECF">
        <w:rPr>
          <w:rFonts w:ascii="Arial" w:eastAsia="Calibri" w:hAnsi="Arial" w:cs="Arial"/>
          <w:sz w:val="22"/>
          <w:szCs w:val="22"/>
          <w:lang w:val="es-MX" w:eastAsia="en-US"/>
        </w:rPr>
        <w:t>de la Secretaría Ejecuti</w:t>
      </w:r>
      <w:r w:rsidR="00CC5F97" w:rsidRPr="00433ECF">
        <w:rPr>
          <w:rFonts w:ascii="Arial" w:eastAsia="Calibri" w:hAnsi="Arial" w:cs="Arial"/>
          <w:sz w:val="22"/>
          <w:szCs w:val="22"/>
          <w:lang w:val="es-MX" w:eastAsia="en-US"/>
        </w:rPr>
        <w:t>va</w:t>
      </w:r>
      <w:r w:rsidRPr="00433ECF">
        <w:rPr>
          <w:rFonts w:ascii="Arial" w:eastAsia="Calibri" w:hAnsi="Arial" w:cs="Arial"/>
          <w:sz w:val="22"/>
          <w:szCs w:val="22"/>
          <w:lang w:val="es-MX" w:eastAsia="en-US"/>
        </w:rPr>
        <w:t xml:space="preserve"> del Sistema</w:t>
      </w:r>
      <w:r w:rsidRPr="00433ECF">
        <w:rPr>
          <w:rFonts w:ascii="Arial" w:eastAsia="Calibri" w:hAnsi="Arial" w:cs="Arial"/>
          <w:sz w:val="22"/>
          <w:szCs w:val="22"/>
          <w:lang w:val="es-MX" w:eastAsia="en-US"/>
        </w:rPr>
        <w:tab/>
      </w:r>
      <w:r w:rsidR="00CC3771" w:rsidRPr="00433ECF">
        <w:rPr>
          <w:rFonts w:ascii="Arial" w:eastAsia="Calibri" w:hAnsi="Arial" w:cs="Arial"/>
          <w:sz w:val="22"/>
          <w:szCs w:val="22"/>
          <w:lang w:val="es-MX" w:eastAsia="en-US"/>
        </w:rPr>
        <w:t xml:space="preserve">     </w:t>
      </w:r>
      <w:r w:rsidR="00CC5F97" w:rsidRPr="00433ECF">
        <w:rPr>
          <w:rFonts w:ascii="Arial" w:eastAsia="Calibri" w:hAnsi="Arial" w:cs="Arial"/>
          <w:sz w:val="22"/>
          <w:szCs w:val="22"/>
          <w:lang w:val="es-MX" w:eastAsia="en-US"/>
        </w:rPr>
        <w:t xml:space="preserve">Secretaría Ejecutiva </w:t>
      </w:r>
      <w:r w:rsidRPr="00433ECF">
        <w:rPr>
          <w:rFonts w:ascii="Arial" w:eastAsia="Calibri" w:hAnsi="Arial" w:cs="Arial"/>
          <w:sz w:val="22"/>
          <w:szCs w:val="22"/>
          <w:lang w:val="es-MX" w:eastAsia="en-US"/>
        </w:rPr>
        <w:t xml:space="preserve">Sistema Estatal </w:t>
      </w:r>
      <w:r w:rsidR="00CC3771" w:rsidRPr="00433ECF">
        <w:rPr>
          <w:rFonts w:ascii="Arial" w:eastAsia="Calibri" w:hAnsi="Arial" w:cs="Arial"/>
          <w:sz w:val="22"/>
          <w:szCs w:val="22"/>
          <w:lang w:val="es-MX" w:eastAsia="en-US"/>
        </w:rPr>
        <w:t xml:space="preserve">               </w:t>
      </w:r>
      <w:proofErr w:type="spellStart"/>
      <w:r w:rsidR="00CC3771" w:rsidRPr="00433ECF">
        <w:rPr>
          <w:rFonts w:ascii="Arial" w:eastAsia="Calibri" w:hAnsi="Arial" w:cs="Arial"/>
          <w:sz w:val="22"/>
          <w:szCs w:val="22"/>
          <w:lang w:val="es-MX" w:eastAsia="en-US"/>
        </w:rPr>
        <w:t>Estatal</w:t>
      </w:r>
      <w:proofErr w:type="spellEnd"/>
      <w:r w:rsidR="00CC3771" w:rsidRPr="00433ECF">
        <w:rPr>
          <w:rFonts w:ascii="Arial" w:eastAsia="Calibri" w:hAnsi="Arial" w:cs="Arial"/>
          <w:sz w:val="22"/>
          <w:szCs w:val="22"/>
          <w:lang w:val="es-MX" w:eastAsia="en-US"/>
        </w:rPr>
        <w:t xml:space="preserve"> </w:t>
      </w:r>
      <w:r w:rsidRPr="00433ECF">
        <w:rPr>
          <w:rFonts w:ascii="Arial" w:eastAsia="Calibri" w:hAnsi="Arial" w:cs="Arial"/>
          <w:sz w:val="22"/>
          <w:szCs w:val="22"/>
          <w:lang w:val="es-MX" w:eastAsia="en-US"/>
        </w:rPr>
        <w:t>Anticorrupción</w:t>
      </w:r>
      <w:r w:rsidR="00CC3771" w:rsidRPr="00433ECF">
        <w:rPr>
          <w:rFonts w:ascii="Arial" w:eastAsia="Calibri" w:hAnsi="Arial" w:cs="Arial"/>
          <w:sz w:val="22"/>
          <w:szCs w:val="22"/>
          <w:lang w:val="es-MX" w:eastAsia="en-US"/>
        </w:rPr>
        <w:t xml:space="preserve"> de Jalisco</w:t>
      </w:r>
      <w:r w:rsidRPr="00433ECF">
        <w:rPr>
          <w:rFonts w:ascii="Arial" w:eastAsia="Calibri" w:hAnsi="Arial" w:cs="Arial"/>
          <w:sz w:val="22"/>
          <w:szCs w:val="22"/>
          <w:lang w:val="es-MX" w:eastAsia="en-US"/>
        </w:rPr>
        <w:t xml:space="preserve">     </w:t>
      </w:r>
      <w:r w:rsidR="00CC3771" w:rsidRPr="00433ECF">
        <w:rPr>
          <w:rFonts w:ascii="Arial" w:eastAsia="Calibri" w:hAnsi="Arial" w:cs="Arial"/>
          <w:sz w:val="22"/>
          <w:szCs w:val="22"/>
          <w:lang w:val="es-MX" w:eastAsia="en-US"/>
        </w:rPr>
        <w:t xml:space="preserve">                   Anticorrupción de Jalisco.</w:t>
      </w:r>
    </w:p>
    <w:p w14:paraId="76AC96C5" w14:textId="0DCEF4D2" w:rsidR="00662697" w:rsidRDefault="00662697" w:rsidP="001A70D2">
      <w:pPr>
        <w:spacing w:after="160"/>
        <w:rPr>
          <w:rFonts w:ascii="Arial" w:eastAsia="Calibri" w:hAnsi="Arial" w:cs="Arial"/>
          <w:sz w:val="20"/>
          <w:szCs w:val="20"/>
          <w:lang w:val="es-MX" w:eastAsia="en-US"/>
        </w:rPr>
      </w:pPr>
    </w:p>
    <w:p w14:paraId="5792DBC1" w14:textId="29D94D18" w:rsidR="00060157" w:rsidRDefault="00060157" w:rsidP="001A70D2">
      <w:pPr>
        <w:spacing w:after="160"/>
        <w:rPr>
          <w:rFonts w:ascii="Arial" w:eastAsia="Calibri" w:hAnsi="Arial" w:cs="Arial"/>
          <w:sz w:val="20"/>
          <w:szCs w:val="20"/>
          <w:lang w:val="es-MX" w:eastAsia="en-US"/>
        </w:rPr>
      </w:pPr>
    </w:p>
    <w:p w14:paraId="106F6A23" w14:textId="77777777" w:rsidR="00252F2D" w:rsidRPr="00662697" w:rsidRDefault="00252F2D" w:rsidP="001A70D2">
      <w:pPr>
        <w:spacing w:after="160"/>
        <w:rPr>
          <w:rFonts w:ascii="Arial" w:eastAsia="Calibri" w:hAnsi="Arial" w:cs="Arial"/>
          <w:sz w:val="20"/>
          <w:szCs w:val="20"/>
          <w:lang w:val="es-MX" w:eastAsia="en-US"/>
        </w:rPr>
      </w:pPr>
    </w:p>
    <w:p w14:paraId="5620E858" w14:textId="77777777" w:rsidR="001A70D2" w:rsidRPr="00662697" w:rsidRDefault="001A70D2" w:rsidP="001A70D2">
      <w:pPr>
        <w:spacing w:after="160"/>
        <w:rPr>
          <w:rFonts w:ascii="Arial" w:eastAsia="Calibri" w:hAnsi="Arial" w:cs="Arial"/>
          <w:sz w:val="20"/>
          <w:szCs w:val="20"/>
          <w:lang w:val="es-MX" w:eastAsia="en-US"/>
        </w:rPr>
      </w:pPr>
    </w:p>
    <w:p w14:paraId="55DB6F70" w14:textId="65091E39" w:rsidR="00BD7A12" w:rsidRPr="00927298" w:rsidRDefault="001A70D2" w:rsidP="00252F2D">
      <w:pPr>
        <w:spacing w:after="160"/>
        <w:jc w:val="both"/>
        <w:rPr>
          <w:rFonts w:ascii="Arial" w:eastAsia="Arial" w:hAnsi="Arial" w:cs="Arial"/>
          <w:sz w:val="22"/>
          <w:szCs w:val="22"/>
          <w:highlight w:val="white"/>
        </w:rPr>
      </w:pPr>
      <w:r w:rsidRPr="00662697">
        <w:rPr>
          <w:rFonts w:ascii="Arial" w:eastAsia="Calibri" w:hAnsi="Arial" w:cs="Arial"/>
          <w:sz w:val="20"/>
          <w:szCs w:val="20"/>
          <w:lang w:val="es-MX" w:eastAsia="en-US"/>
        </w:rPr>
        <w:t xml:space="preserve">La presente hoja de firmas forma parte integral de la presente acta, relativa a la </w:t>
      </w:r>
      <w:r w:rsidR="00060157">
        <w:rPr>
          <w:rFonts w:ascii="Arial" w:eastAsia="Calibri" w:hAnsi="Arial" w:cs="Arial"/>
          <w:sz w:val="20"/>
          <w:szCs w:val="20"/>
          <w:lang w:val="es-MX" w:eastAsia="en-US"/>
        </w:rPr>
        <w:t>Primera</w:t>
      </w:r>
      <w:r w:rsidRPr="00662697">
        <w:rPr>
          <w:rFonts w:ascii="Arial" w:eastAsia="Calibri" w:hAnsi="Arial" w:cs="Arial"/>
          <w:sz w:val="20"/>
          <w:szCs w:val="20"/>
          <w:lang w:val="es-MX" w:eastAsia="en-US"/>
        </w:rPr>
        <w:t xml:space="preserve"> </w:t>
      </w:r>
      <w:r w:rsidR="00060157" w:rsidRPr="00662697">
        <w:rPr>
          <w:rFonts w:ascii="Arial" w:eastAsia="Calibri" w:hAnsi="Arial" w:cs="Arial"/>
          <w:sz w:val="20"/>
          <w:szCs w:val="20"/>
          <w:lang w:val="es-MX" w:eastAsia="en-US"/>
        </w:rPr>
        <w:t>Sesión Extraordinaria</w:t>
      </w:r>
      <w:r w:rsidR="00CC5F97" w:rsidRPr="00662697">
        <w:rPr>
          <w:rFonts w:ascii="Arial" w:eastAsia="Calibri" w:hAnsi="Arial" w:cs="Arial"/>
          <w:sz w:val="20"/>
          <w:szCs w:val="20"/>
          <w:lang w:val="es-MX" w:eastAsia="en-US"/>
        </w:rPr>
        <w:t xml:space="preserve"> </w:t>
      </w:r>
      <w:r w:rsidRPr="00662697">
        <w:rPr>
          <w:rFonts w:ascii="Arial" w:eastAsia="Calibri" w:hAnsi="Arial" w:cs="Arial"/>
          <w:sz w:val="20"/>
          <w:szCs w:val="20"/>
          <w:lang w:val="es-MX" w:eastAsia="en-US"/>
        </w:rPr>
        <w:t>del 20</w:t>
      </w:r>
      <w:r w:rsidR="00CC5F97" w:rsidRPr="00662697">
        <w:rPr>
          <w:rFonts w:ascii="Arial" w:eastAsia="Calibri" w:hAnsi="Arial" w:cs="Arial"/>
          <w:sz w:val="20"/>
          <w:szCs w:val="20"/>
          <w:lang w:val="es-MX" w:eastAsia="en-US"/>
        </w:rPr>
        <w:t>2</w:t>
      </w:r>
      <w:r w:rsidR="00060157">
        <w:rPr>
          <w:rFonts w:ascii="Arial" w:eastAsia="Calibri" w:hAnsi="Arial" w:cs="Arial"/>
          <w:sz w:val="20"/>
          <w:szCs w:val="20"/>
          <w:lang w:val="es-MX" w:eastAsia="en-US"/>
        </w:rPr>
        <w:t>1</w:t>
      </w:r>
      <w:r w:rsidRPr="00662697">
        <w:rPr>
          <w:rFonts w:ascii="Arial" w:eastAsia="Calibri" w:hAnsi="Arial" w:cs="Arial"/>
          <w:sz w:val="20"/>
          <w:szCs w:val="20"/>
          <w:lang w:val="es-MX" w:eastAsia="en-US"/>
        </w:rPr>
        <w:t xml:space="preserve">, del Comité de Transparencia de la Secretaría Ejecutiva del Sistema Estatal Anticorrupción de </w:t>
      </w:r>
      <w:proofErr w:type="gramStart"/>
      <w:r w:rsidRPr="00662697">
        <w:rPr>
          <w:rFonts w:ascii="Arial" w:eastAsia="Calibri" w:hAnsi="Arial" w:cs="Arial"/>
          <w:sz w:val="20"/>
          <w:szCs w:val="20"/>
          <w:lang w:val="es-MX" w:eastAsia="en-US"/>
        </w:rPr>
        <w:t>Jalisco.------------------------------------------------------</w:t>
      </w:r>
      <w:r w:rsidR="00927298" w:rsidRPr="00662697">
        <w:rPr>
          <w:rFonts w:ascii="Arial" w:eastAsia="Calibri" w:hAnsi="Arial" w:cs="Arial"/>
          <w:sz w:val="20"/>
          <w:szCs w:val="20"/>
          <w:lang w:val="es-MX" w:eastAsia="en-US"/>
        </w:rPr>
        <w:t>------------------------------</w:t>
      </w:r>
      <w:r w:rsidR="00CC3771" w:rsidRPr="00662697">
        <w:rPr>
          <w:rFonts w:ascii="Arial" w:eastAsia="Calibri" w:hAnsi="Arial" w:cs="Arial"/>
          <w:sz w:val="20"/>
          <w:szCs w:val="20"/>
          <w:lang w:val="es-MX" w:eastAsia="en-US"/>
        </w:rPr>
        <w:t>----------</w:t>
      </w:r>
      <w:r w:rsidR="00662697">
        <w:rPr>
          <w:rFonts w:ascii="Arial" w:eastAsia="Calibri" w:hAnsi="Arial" w:cs="Arial"/>
          <w:sz w:val="20"/>
          <w:szCs w:val="20"/>
          <w:lang w:val="es-MX" w:eastAsia="en-US"/>
        </w:rPr>
        <w:t>-------------</w:t>
      </w:r>
      <w:proofErr w:type="gramEnd"/>
    </w:p>
    <w:sectPr w:rsidR="00BD7A12" w:rsidRPr="00927298">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DEDC" w14:textId="77777777" w:rsidR="001900D9" w:rsidRDefault="001900D9">
      <w:r>
        <w:separator/>
      </w:r>
    </w:p>
  </w:endnote>
  <w:endnote w:type="continuationSeparator" w:id="0">
    <w:p w14:paraId="1E655ADF" w14:textId="77777777" w:rsidR="001900D9" w:rsidRDefault="0019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6F79" w14:textId="77777777" w:rsidR="004E2B70" w:rsidRDefault="004E2B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7B46A71" w14:textId="77777777" w:rsidR="004E2B70" w:rsidRDefault="004E2B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4DC" w14:textId="77777777" w:rsidR="004E2B70" w:rsidRDefault="004E2B70">
    <w:pPr>
      <w:jc w:val="center"/>
      <w:rPr>
        <w:color w:val="5B9BD5"/>
        <w:sz w:val="21"/>
        <w:szCs w:val="21"/>
      </w:rPr>
    </w:pPr>
    <w:r>
      <w:rPr>
        <w:rFonts w:ascii="Arial" w:eastAsia="Arial" w:hAnsi="Arial" w:cs="Arial"/>
        <w:noProof/>
        <w:sz w:val="22"/>
        <w:szCs w:val="22"/>
      </w:rPr>
      <w:drawing>
        <wp:inline distT="114300" distB="114300" distL="114300" distR="114300" wp14:anchorId="651C72C9" wp14:editId="0F6C6855">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23C45371" w14:textId="77777777" w:rsidR="004E2B70" w:rsidRDefault="004E2B70">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62AD" w14:textId="77777777" w:rsidR="001900D9" w:rsidRDefault="001900D9">
      <w:r>
        <w:separator/>
      </w:r>
    </w:p>
  </w:footnote>
  <w:footnote w:type="continuationSeparator" w:id="0">
    <w:p w14:paraId="012F064C" w14:textId="77777777" w:rsidR="001900D9" w:rsidRDefault="0019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4B5" w14:textId="77777777" w:rsidR="004E2B70" w:rsidRDefault="004E2B70"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597E8A1F" wp14:editId="6685B375">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C5FC365" w14:textId="77777777" w:rsidR="004E2B70" w:rsidRDefault="004E2B70">
    <w:pPr>
      <w:tabs>
        <w:tab w:val="center" w:pos="4419"/>
        <w:tab w:val="right" w:pos="8838"/>
      </w:tabs>
      <w:ind w:left="-1417" w:right="-1425"/>
      <w:jc w:val="right"/>
    </w:pPr>
    <w:r>
      <w:rPr>
        <w:noProof/>
        <w:color w:val="5B9BD5"/>
        <w:sz w:val="21"/>
        <w:szCs w:val="21"/>
      </w:rPr>
      <w:drawing>
        <wp:inline distT="114300" distB="114300" distL="114300" distR="114300" wp14:anchorId="3242746F" wp14:editId="3A79938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121ADC"/>
    <w:multiLevelType w:val="hybridMultilevel"/>
    <w:tmpl w:val="F99438F2"/>
    <w:lvl w:ilvl="0" w:tplc="1F24FCB2">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 w15:restartNumberingAfterBreak="0">
    <w:nsid w:val="4846781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5324D"/>
    <w:rsid w:val="00060157"/>
    <w:rsid w:val="00073DE6"/>
    <w:rsid w:val="000B332A"/>
    <w:rsid w:val="000C4EEB"/>
    <w:rsid w:val="00174C6D"/>
    <w:rsid w:val="0018438A"/>
    <w:rsid w:val="001900D9"/>
    <w:rsid w:val="001A70D2"/>
    <w:rsid w:val="001C2F81"/>
    <w:rsid w:val="00252F2D"/>
    <w:rsid w:val="00253271"/>
    <w:rsid w:val="002655E8"/>
    <w:rsid w:val="002B237E"/>
    <w:rsid w:val="00317B42"/>
    <w:rsid w:val="0033666D"/>
    <w:rsid w:val="0033724B"/>
    <w:rsid w:val="00350C60"/>
    <w:rsid w:val="003A0B23"/>
    <w:rsid w:val="003A4B30"/>
    <w:rsid w:val="003B6942"/>
    <w:rsid w:val="003C2FF6"/>
    <w:rsid w:val="003D71B0"/>
    <w:rsid w:val="00413ABC"/>
    <w:rsid w:val="00426C99"/>
    <w:rsid w:val="00433ECF"/>
    <w:rsid w:val="004642FE"/>
    <w:rsid w:val="00491B72"/>
    <w:rsid w:val="004A7E06"/>
    <w:rsid w:val="004B551C"/>
    <w:rsid w:val="004C0426"/>
    <w:rsid w:val="004D473D"/>
    <w:rsid w:val="004E2B70"/>
    <w:rsid w:val="004F46EE"/>
    <w:rsid w:val="00536E1F"/>
    <w:rsid w:val="00556CE0"/>
    <w:rsid w:val="0056302F"/>
    <w:rsid w:val="005E0C2C"/>
    <w:rsid w:val="005F3622"/>
    <w:rsid w:val="00662697"/>
    <w:rsid w:val="00693CCF"/>
    <w:rsid w:val="006E2ACF"/>
    <w:rsid w:val="0074715F"/>
    <w:rsid w:val="00773892"/>
    <w:rsid w:val="007860BC"/>
    <w:rsid w:val="007C7303"/>
    <w:rsid w:val="00814488"/>
    <w:rsid w:val="00830B82"/>
    <w:rsid w:val="008438E9"/>
    <w:rsid w:val="008670E3"/>
    <w:rsid w:val="0087617F"/>
    <w:rsid w:val="00893481"/>
    <w:rsid w:val="008A0F56"/>
    <w:rsid w:val="00927298"/>
    <w:rsid w:val="00942B6A"/>
    <w:rsid w:val="00995378"/>
    <w:rsid w:val="009B205A"/>
    <w:rsid w:val="009D4553"/>
    <w:rsid w:val="009F71E6"/>
    <w:rsid w:val="00A04403"/>
    <w:rsid w:val="00A1293D"/>
    <w:rsid w:val="00A174BA"/>
    <w:rsid w:val="00A57912"/>
    <w:rsid w:val="00A7228F"/>
    <w:rsid w:val="00A96F7A"/>
    <w:rsid w:val="00AA1115"/>
    <w:rsid w:val="00AE2412"/>
    <w:rsid w:val="00B07942"/>
    <w:rsid w:val="00B12232"/>
    <w:rsid w:val="00B42D15"/>
    <w:rsid w:val="00B54151"/>
    <w:rsid w:val="00B77DFD"/>
    <w:rsid w:val="00B81D80"/>
    <w:rsid w:val="00B864E4"/>
    <w:rsid w:val="00B873D9"/>
    <w:rsid w:val="00BB174E"/>
    <w:rsid w:val="00BC2913"/>
    <w:rsid w:val="00BC5FE1"/>
    <w:rsid w:val="00BD7A12"/>
    <w:rsid w:val="00C12F3C"/>
    <w:rsid w:val="00C1636B"/>
    <w:rsid w:val="00C80992"/>
    <w:rsid w:val="00CA7B94"/>
    <w:rsid w:val="00CB3C8B"/>
    <w:rsid w:val="00CC3771"/>
    <w:rsid w:val="00CC5A5B"/>
    <w:rsid w:val="00CC5F97"/>
    <w:rsid w:val="00D467E3"/>
    <w:rsid w:val="00D64715"/>
    <w:rsid w:val="00D7571E"/>
    <w:rsid w:val="00DA547F"/>
    <w:rsid w:val="00DB382A"/>
    <w:rsid w:val="00E30B33"/>
    <w:rsid w:val="00E426F9"/>
    <w:rsid w:val="00E615CB"/>
    <w:rsid w:val="00E731DB"/>
    <w:rsid w:val="00EF24A0"/>
    <w:rsid w:val="00F069A1"/>
    <w:rsid w:val="00F13572"/>
    <w:rsid w:val="00F37B48"/>
    <w:rsid w:val="00F8578E"/>
    <w:rsid w:val="00F94FE7"/>
    <w:rsid w:val="00FB2E78"/>
    <w:rsid w:val="00FE1BB9"/>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9A0"/>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ECF"/>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830B82"/>
    <w:rPr>
      <w:rFonts w:ascii="Times New Roman" w:eastAsia="Times New Roman" w:hAnsi="Times New Roman" w:cs="Times New Roman"/>
      <w:lang w:val="es-ES" w:eastAsia="es-ES"/>
    </w:rPr>
  </w:style>
  <w:style w:type="character" w:customStyle="1" w:styleId="EstiloCar">
    <w:name w:val="Estilo Car"/>
    <w:link w:val="Estilo"/>
    <w:locked/>
    <w:rsid w:val="00830B82"/>
    <w:rPr>
      <w:rFonts w:ascii="Arial" w:eastAsia="Calibri" w:hAnsi="Arial" w:cs="Arial"/>
      <w:lang w:val="es-MX" w:eastAsia="en-US"/>
    </w:rPr>
  </w:style>
  <w:style w:type="paragraph" w:customStyle="1" w:styleId="Estilo">
    <w:name w:val="Estilo"/>
    <w:basedOn w:val="Normal"/>
    <w:link w:val="EstiloCar"/>
    <w:rsid w:val="00830B82"/>
    <w:pPr>
      <w:jc w:val="both"/>
    </w:pPr>
    <w:rPr>
      <w:rFonts w:ascii="Arial" w:eastAsia="Calibri" w:hAnsi="Arial" w:cs="Arial"/>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32721846">
      <w:bodyDiv w:val="1"/>
      <w:marLeft w:val="0"/>
      <w:marRight w:val="0"/>
      <w:marTop w:val="0"/>
      <w:marBottom w:val="0"/>
      <w:divBdr>
        <w:top w:val="none" w:sz="0" w:space="0" w:color="auto"/>
        <w:left w:val="none" w:sz="0" w:space="0" w:color="auto"/>
        <w:bottom w:val="none" w:sz="0" w:space="0" w:color="auto"/>
        <w:right w:val="none" w:sz="0" w:space="0" w:color="auto"/>
      </w:divBdr>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257129075">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48019-0812-4548-A6D8-DF8F2C51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3716</Words>
  <Characters>20442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33</cp:revision>
  <cp:lastPrinted>2020-11-27T20:19:00Z</cp:lastPrinted>
  <dcterms:created xsi:type="dcterms:W3CDTF">2020-10-24T13:02:00Z</dcterms:created>
  <dcterms:modified xsi:type="dcterms:W3CDTF">2021-04-27T16:03:00Z</dcterms:modified>
</cp:coreProperties>
</file>